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方正小标宋简体" w:eastAsia="方正小标宋简体" w:cs="Times New Roman"/>
          <w:sz w:val="36"/>
          <w:szCs w:val="36"/>
        </w:rPr>
      </w:pPr>
      <w:r>
        <w:rPr>
          <w:rFonts w:hint="eastAsia" w:ascii="方正小标宋简体" w:eastAsia="方正小标宋简体" w:cs="Times New Roman"/>
          <w:sz w:val="36"/>
          <w:szCs w:val="36"/>
        </w:rPr>
        <w:t>18.防城港市林业局权责清单</w:t>
      </w:r>
    </w:p>
    <w:tbl>
      <w:tblPr>
        <w:tblStyle w:val="7"/>
        <w:tblpPr w:leftFromText="180" w:rightFromText="180" w:vertAnchor="text" w:horzAnchor="page" w:tblpX="1278" w:tblpY="138"/>
        <w:tblOverlap w:val="never"/>
        <w:tblW w:w="21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977"/>
        <w:gridCol w:w="720"/>
        <w:gridCol w:w="851"/>
        <w:gridCol w:w="2051"/>
        <w:gridCol w:w="2142"/>
        <w:gridCol w:w="6330"/>
        <w:gridCol w:w="1528"/>
        <w:gridCol w:w="5556"/>
        <w:gridCol w:w="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821" w:type="dxa"/>
            <w:vAlign w:val="center"/>
          </w:tcPr>
          <w:p>
            <w:pPr>
              <w:spacing w:line="280" w:lineRule="exact"/>
              <w:jc w:val="center"/>
              <w:rPr>
                <w:rFonts w:cs="Times New Roman"/>
                <w:sz w:val="18"/>
                <w:szCs w:val="18"/>
              </w:rPr>
            </w:pPr>
            <w:r>
              <w:rPr>
                <w:rFonts w:hint="eastAsia" w:cs="Times New Roman"/>
                <w:sz w:val="18"/>
                <w:szCs w:val="18"/>
              </w:rPr>
              <w:t>序</w:t>
            </w:r>
            <w:r>
              <w:rPr>
                <w:rFonts w:cs="Times New Roman"/>
                <w:sz w:val="18"/>
                <w:szCs w:val="18"/>
              </w:rPr>
              <w:t>号</w:t>
            </w:r>
          </w:p>
        </w:tc>
        <w:tc>
          <w:tcPr>
            <w:tcW w:w="977"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720" w:type="dxa"/>
            <w:vAlign w:val="center"/>
          </w:tcPr>
          <w:p>
            <w:pPr>
              <w:spacing w:line="280" w:lineRule="exact"/>
              <w:jc w:val="center"/>
              <w:rPr>
                <w:rFonts w:cs="Times New Roman"/>
                <w:sz w:val="18"/>
                <w:szCs w:val="18"/>
              </w:rPr>
            </w:pPr>
            <w:r>
              <w:rPr>
                <w:rFonts w:cs="Times New Roman"/>
                <w:sz w:val="18"/>
                <w:szCs w:val="18"/>
              </w:rPr>
              <w:t>项目名称</w:t>
            </w:r>
          </w:p>
        </w:tc>
        <w:tc>
          <w:tcPr>
            <w:tcW w:w="851" w:type="dxa"/>
            <w:vAlign w:val="center"/>
          </w:tcPr>
          <w:p>
            <w:pPr>
              <w:spacing w:line="280" w:lineRule="exact"/>
              <w:jc w:val="center"/>
              <w:rPr>
                <w:rFonts w:cs="Times New Roman"/>
                <w:sz w:val="18"/>
                <w:szCs w:val="18"/>
              </w:rPr>
            </w:pPr>
            <w:r>
              <w:rPr>
                <w:rFonts w:cs="Times New Roman"/>
                <w:sz w:val="18"/>
                <w:szCs w:val="18"/>
              </w:rPr>
              <w:t>子项</w:t>
            </w:r>
          </w:p>
        </w:tc>
        <w:tc>
          <w:tcPr>
            <w:tcW w:w="2051" w:type="dxa"/>
            <w:vAlign w:val="center"/>
          </w:tcPr>
          <w:p>
            <w:pPr>
              <w:spacing w:line="280" w:lineRule="exact"/>
              <w:jc w:val="center"/>
              <w:rPr>
                <w:rFonts w:cs="Times New Roman"/>
                <w:sz w:val="18"/>
                <w:szCs w:val="18"/>
              </w:rPr>
            </w:pPr>
            <w:r>
              <w:rPr>
                <w:rFonts w:cs="Times New Roman"/>
                <w:sz w:val="18"/>
                <w:szCs w:val="18"/>
              </w:rPr>
              <w:t>实施依据</w:t>
            </w:r>
          </w:p>
        </w:tc>
        <w:tc>
          <w:tcPr>
            <w:tcW w:w="2142" w:type="dxa"/>
            <w:vAlign w:val="center"/>
          </w:tcPr>
          <w:p>
            <w:pPr>
              <w:spacing w:line="280" w:lineRule="exact"/>
              <w:jc w:val="center"/>
              <w:rPr>
                <w:rFonts w:cs="Times New Roman"/>
                <w:sz w:val="18"/>
                <w:szCs w:val="18"/>
              </w:rPr>
            </w:pPr>
            <w:r>
              <w:rPr>
                <w:rFonts w:cs="Times New Roman"/>
                <w:sz w:val="18"/>
                <w:szCs w:val="18"/>
              </w:rPr>
              <w:t>责任事项</w:t>
            </w:r>
          </w:p>
        </w:tc>
        <w:tc>
          <w:tcPr>
            <w:tcW w:w="6330" w:type="dxa"/>
            <w:vAlign w:val="center"/>
          </w:tcPr>
          <w:p>
            <w:pPr>
              <w:spacing w:line="280" w:lineRule="exact"/>
              <w:jc w:val="center"/>
              <w:rPr>
                <w:rFonts w:cs="Times New Roman"/>
                <w:sz w:val="18"/>
                <w:szCs w:val="18"/>
              </w:rPr>
            </w:pPr>
            <w:r>
              <w:rPr>
                <w:rFonts w:cs="Times New Roman"/>
                <w:sz w:val="18"/>
                <w:szCs w:val="18"/>
              </w:rPr>
              <w:t>责任事项依据</w:t>
            </w:r>
          </w:p>
        </w:tc>
        <w:tc>
          <w:tcPr>
            <w:tcW w:w="1528" w:type="dxa"/>
            <w:vAlign w:val="center"/>
          </w:tcPr>
          <w:p>
            <w:pPr>
              <w:spacing w:line="280" w:lineRule="exact"/>
              <w:jc w:val="center"/>
              <w:rPr>
                <w:rFonts w:cs="Times New Roman"/>
                <w:sz w:val="18"/>
                <w:szCs w:val="18"/>
              </w:rPr>
            </w:pPr>
            <w:r>
              <w:rPr>
                <w:rFonts w:cs="Times New Roman"/>
                <w:sz w:val="18"/>
                <w:szCs w:val="18"/>
              </w:rPr>
              <w:t>追责情形</w:t>
            </w:r>
          </w:p>
        </w:tc>
        <w:tc>
          <w:tcPr>
            <w:tcW w:w="5556" w:type="dxa"/>
            <w:vAlign w:val="center"/>
          </w:tcPr>
          <w:p>
            <w:pPr>
              <w:spacing w:line="280" w:lineRule="exact"/>
              <w:jc w:val="center"/>
              <w:rPr>
                <w:rFonts w:cs="Times New Roman"/>
                <w:sz w:val="18"/>
                <w:szCs w:val="18"/>
              </w:rPr>
            </w:pPr>
            <w:r>
              <w:rPr>
                <w:rFonts w:cs="Times New Roman"/>
                <w:sz w:val="18"/>
                <w:szCs w:val="18"/>
              </w:rPr>
              <w:t>追责依据</w:t>
            </w:r>
          </w:p>
        </w:tc>
        <w:tc>
          <w:tcPr>
            <w:tcW w:w="599"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7" w:hRule="atLeast"/>
        </w:trPr>
        <w:tc>
          <w:tcPr>
            <w:tcW w:w="821" w:type="dxa"/>
            <w:vAlign w:val="center"/>
          </w:tcPr>
          <w:p>
            <w:pPr>
              <w:spacing w:line="240" w:lineRule="exact"/>
              <w:jc w:val="center"/>
              <w:rPr>
                <w:rFonts w:cs="Times New Roman"/>
                <w:sz w:val="18"/>
                <w:szCs w:val="18"/>
              </w:rPr>
            </w:pPr>
            <w:r>
              <w:rPr>
                <w:rFonts w:cs="Times New Roman"/>
                <w:sz w:val="18"/>
                <w:szCs w:val="18"/>
              </w:rPr>
              <w:t>1</w:t>
            </w:r>
          </w:p>
        </w:tc>
        <w:tc>
          <w:tcPr>
            <w:tcW w:w="977" w:type="dxa"/>
            <w:vAlign w:val="center"/>
          </w:tcPr>
          <w:p>
            <w:pPr>
              <w:spacing w:line="240" w:lineRule="exact"/>
              <w:rPr>
                <w:rFonts w:cs="Times New Roman"/>
                <w:sz w:val="18"/>
                <w:szCs w:val="18"/>
              </w:rPr>
            </w:pPr>
            <w:r>
              <w:rPr>
                <w:rFonts w:cs="Times New Roman"/>
                <w:sz w:val="18"/>
                <w:szCs w:val="18"/>
              </w:rPr>
              <w:t>行政许可</w:t>
            </w:r>
          </w:p>
        </w:tc>
        <w:tc>
          <w:tcPr>
            <w:tcW w:w="720" w:type="dxa"/>
            <w:vAlign w:val="center"/>
          </w:tcPr>
          <w:p>
            <w:pPr>
              <w:spacing w:line="240" w:lineRule="exact"/>
              <w:rPr>
                <w:rFonts w:cs="Times New Roman"/>
                <w:sz w:val="18"/>
                <w:szCs w:val="18"/>
              </w:rPr>
            </w:pPr>
            <w:r>
              <w:rPr>
                <w:rFonts w:cs="Times New Roman"/>
                <w:sz w:val="18"/>
                <w:szCs w:val="18"/>
              </w:rPr>
              <w:t>临时占用林地</w:t>
            </w:r>
            <w:r>
              <w:rPr>
                <w:rFonts w:hint="eastAsia" w:cs="Times New Roman"/>
                <w:sz w:val="18"/>
                <w:szCs w:val="18"/>
              </w:rPr>
              <w:t>审批</w:t>
            </w:r>
          </w:p>
        </w:tc>
        <w:tc>
          <w:tcPr>
            <w:tcW w:w="851" w:type="dxa"/>
            <w:vAlign w:val="center"/>
          </w:tcPr>
          <w:p>
            <w:pPr>
              <w:spacing w:line="240" w:lineRule="exact"/>
              <w:rPr>
                <w:rFonts w:cs="Times New Roman"/>
                <w:sz w:val="18"/>
                <w:szCs w:val="18"/>
              </w:rPr>
            </w:pPr>
            <w:r>
              <w:rPr>
                <w:rFonts w:cs="Times New Roman"/>
                <w:sz w:val="18"/>
                <w:szCs w:val="18"/>
              </w:rPr>
              <w:t>　</w:t>
            </w:r>
          </w:p>
        </w:tc>
        <w:tc>
          <w:tcPr>
            <w:tcW w:w="2051" w:type="dxa"/>
            <w:vAlign w:val="center"/>
          </w:tcPr>
          <w:p>
            <w:pPr>
              <w:spacing w:line="240" w:lineRule="exact"/>
              <w:rPr>
                <w:rFonts w:cs="Times New Roman"/>
                <w:sz w:val="18"/>
                <w:szCs w:val="18"/>
              </w:rPr>
            </w:pPr>
            <w:r>
              <w:rPr>
                <w:rFonts w:cs="Times New Roman"/>
                <w:sz w:val="18"/>
                <w:szCs w:val="18"/>
              </w:rPr>
              <w:t xml:space="preserve">    【法规】《中华人民共和国森林法实施条例》(2000年1月29日国务院令第278号发布， 2016年2月6日国务院令第666号第二次修订）第十七条 需要临时占用林地的，应当经县级以上人民政府林业主管部门批准。临时占用林地的期限不得超过两年，并不得在临时占用的林地上修筑永久性建筑物；占用期满后，用地单位必须恢复林业生产条件。</w:t>
            </w:r>
            <w:r>
              <w:rPr>
                <w:rFonts w:cs="Times New Roman"/>
                <w:sz w:val="18"/>
                <w:szCs w:val="18"/>
              </w:rPr>
              <w:br w:type="textWrapping"/>
            </w:r>
          </w:p>
        </w:tc>
        <w:tc>
          <w:tcPr>
            <w:tcW w:w="2142" w:type="dxa"/>
            <w:vAlign w:val="center"/>
          </w:tcPr>
          <w:p>
            <w:pPr>
              <w:spacing w:line="240" w:lineRule="exact"/>
              <w:rPr>
                <w:rFonts w:cs="Times New Roman"/>
                <w:sz w:val="18"/>
                <w:szCs w:val="18"/>
              </w:rPr>
            </w:pPr>
            <w:r>
              <w:rPr>
                <w:rFonts w:cs="Times New Roman"/>
                <w:bCs/>
                <w:sz w:val="18"/>
                <w:szCs w:val="18"/>
              </w:rPr>
              <w:t>1.受理责任</w:t>
            </w:r>
            <w:r>
              <w:rPr>
                <w:rFonts w:cs="Times New Roman"/>
                <w:sz w:val="18"/>
                <w:szCs w:val="18"/>
              </w:rPr>
              <w:t>：县级林业主管部门公示依法应当提交的材料；一次性告知补正材料；依法受理或不予受理（不予受理应当告知理由）。</w:t>
            </w:r>
            <w:r>
              <w:rPr>
                <w:rFonts w:cs="Times New Roman"/>
                <w:sz w:val="18"/>
                <w:szCs w:val="18"/>
              </w:rPr>
              <w:br w:type="textWrapping"/>
            </w:r>
            <w:r>
              <w:rPr>
                <w:rFonts w:cs="Times New Roman"/>
                <w:bCs/>
                <w:sz w:val="18"/>
                <w:szCs w:val="18"/>
              </w:rPr>
              <w:t>2.审查责任</w:t>
            </w:r>
            <w:r>
              <w:rPr>
                <w:rFonts w:cs="Times New Roman"/>
                <w:sz w:val="18"/>
                <w:szCs w:val="18"/>
              </w:rPr>
              <w:t>：（1）县级林业主管部门责任：材料初审、现场查验、依法公示；提出初步审查意见并按要求上报材料；（2）设区市林业主管部门责任：对县级林业主管部门上报的申请材料进行审查，对申请材料不全或者不符合法定形式的，一次性书面告知用地单位或者个人限期补正；逾期未补正的，退还申请材料。</w:t>
            </w:r>
            <w:r>
              <w:rPr>
                <w:rFonts w:cs="Times New Roman"/>
                <w:sz w:val="18"/>
                <w:szCs w:val="18"/>
              </w:rPr>
              <w:br w:type="textWrapping"/>
            </w:r>
            <w:r>
              <w:rPr>
                <w:rFonts w:cs="Times New Roman"/>
                <w:bCs/>
                <w:sz w:val="18"/>
                <w:szCs w:val="18"/>
              </w:rPr>
              <w:t>3.决定责任</w:t>
            </w:r>
            <w:r>
              <w:rPr>
                <w:rFonts w:cs="Times New Roman"/>
                <w:sz w:val="18"/>
                <w:szCs w:val="18"/>
              </w:rPr>
              <w:t>：作出决定（准予行政许可或不予行政许可）；按时办结；告知预交森林植被恢复费。</w:t>
            </w:r>
            <w:r>
              <w:rPr>
                <w:rFonts w:cs="Times New Roman"/>
                <w:sz w:val="18"/>
                <w:szCs w:val="18"/>
              </w:rPr>
              <w:br w:type="textWrapping"/>
            </w:r>
            <w:r>
              <w:rPr>
                <w:rFonts w:cs="Times New Roman"/>
                <w:bCs/>
                <w:sz w:val="18"/>
                <w:szCs w:val="18"/>
              </w:rPr>
              <w:t>4.送达责任</w:t>
            </w:r>
            <w:r>
              <w:rPr>
                <w:rFonts w:cs="Times New Roman"/>
                <w:sz w:val="18"/>
                <w:szCs w:val="18"/>
              </w:rPr>
              <w:t>：制发送达使用林地行政许可决定书；信息公开。</w:t>
            </w:r>
            <w:r>
              <w:rPr>
                <w:rFonts w:cs="Times New Roman"/>
                <w:sz w:val="18"/>
                <w:szCs w:val="18"/>
              </w:rPr>
              <w:br w:type="textWrapping"/>
            </w:r>
            <w:r>
              <w:rPr>
                <w:rFonts w:cs="Times New Roman"/>
                <w:bCs/>
                <w:sz w:val="18"/>
                <w:szCs w:val="18"/>
              </w:rPr>
              <w:t>5.监管责任</w:t>
            </w:r>
            <w:r>
              <w:rPr>
                <w:rFonts w:cs="Times New Roman"/>
                <w:sz w:val="18"/>
                <w:szCs w:val="18"/>
              </w:rPr>
              <w:t>：建立工程建设项目占用林地审批档案；加强项目建设使用林地的监督检查，确保项目建设依法依规使用林地。</w:t>
            </w:r>
            <w:r>
              <w:rPr>
                <w:rFonts w:cs="Times New Roman"/>
                <w:sz w:val="18"/>
                <w:szCs w:val="18"/>
              </w:rPr>
              <w:br w:type="textWrapping"/>
            </w:r>
            <w:r>
              <w:rPr>
                <w:rFonts w:cs="Times New Roman"/>
                <w:bCs/>
                <w:sz w:val="18"/>
                <w:szCs w:val="18"/>
              </w:rPr>
              <w:t>6.其他法律法规规章文件规定应承担的责任</w:t>
            </w:r>
            <w:r>
              <w:rPr>
                <w:rFonts w:cs="Times New Roman"/>
                <w:sz w:val="18"/>
                <w:szCs w:val="18"/>
              </w:rPr>
              <w:t>。</w:t>
            </w:r>
          </w:p>
        </w:tc>
        <w:tc>
          <w:tcPr>
            <w:tcW w:w="6330" w:type="dxa"/>
            <w:vAlign w:val="center"/>
          </w:tcPr>
          <w:p>
            <w:pPr>
              <w:pStyle w:val="5"/>
              <w:shd w:val="clear" w:color="auto" w:fill="FFFFFF"/>
              <w:spacing w:before="85" w:beforeAutospacing="0" w:after="0" w:afterAutospacing="0" w:line="240" w:lineRule="exact"/>
              <w:ind w:left="42" w:right="42" w:firstLine="360" w:firstLineChars="200"/>
              <w:rPr>
                <w:rFonts w:cs="Times New Roman"/>
                <w:sz w:val="18"/>
                <w:szCs w:val="18"/>
              </w:rPr>
            </w:pPr>
            <w:r>
              <w:rPr>
                <w:rFonts w:cs="Times New Roman"/>
                <w:sz w:val="18"/>
                <w:szCs w:val="18"/>
              </w:rPr>
              <w:t>1.【法律】《中华人民共和国行政许可法》（2003年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2.【规章】《建设项目使用林地审核审批管理办法》（2015年</w:t>
            </w:r>
            <w:r>
              <w:rPr>
                <w:rFonts w:hint="eastAsia" w:cs="Times New Roman"/>
                <w:sz w:val="18"/>
                <w:szCs w:val="18"/>
              </w:rPr>
              <w:t>3</w:t>
            </w:r>
            <w:r>
              <w:rPr>
                <w:rFonts w:cs="Times New Roman"/>
                <w:sz w:val="18"/>
                <w:szCs w:val="18"/>
              </w:rPr>
              <w:t>月</w:t>
            </w:r>
            <w:r>
              <w:rPr>
                <w:rFonts w:hint="eastAsia" w:cs="Times New Roman"/>
                <w:sz w:val="18"/>
                <w:szCs w:val="18"/>
              </w:rPr>
              <w:t>30</w:t>
            </w:r>
            <w:r>
              <w:rPr>
                <w:rFonts w:cs="Times New Roman"/>
                <w:sz w:val="18"/>
                <w:szCs w:val="18"/>
              </w:rPr>
              <w:t>日国家林业局令第35号</w:t>
            </w:r>
            <w:r>
              <w:rPr>
                <w:rFonts w:hint="eastAsia" w:cs="Times New Roman"/>
                <w:sz w:val="18"/>
                <w:szCs w:val="18"/>
              </w:rPr>
              <w:t>公布，2016年9月22日国家林业局令第42号修改</w:t>
            </w:r>
            <w:r>
              <w:rPr>
                <w:rFonts w:cs="Times New Roman"/>
                <w:sz w:val="18"/>
                <w:szCs w:val="18"/>
              </w:rPr>
              <w:t>）第十条  县级人民政府林业主管部门对材料齐全、符合条件的使用林地申请，应当在收到申请之日起10个工作日内，指派2名以上工作人员进行用地现场查验，并填写《使用林地现场查验表》。第十一条  县级人民政府林业主管部门对建设项目拟使用的林地，应当在林地所在地的村（组）或者林场范围内将拟使用林地用途、范围、面积等内容进行公示，公示期不少于5个工作日。但是，依照相关法律法规的规定不需要公示的除外。第十二条  按照规定需要报上级人民政府林业主管部门审核和审批的建设项目，下级人民政府林业主管部门应当将初步审查意见和全部材料报上级人民政府林业主管部门。</w:t>
            </w:r>
          </w:p>
          <w:p>
            <w:pPr>
              <w:pStyle w:val="5"/>
              <w:shd w:val="clear" w:color="auto" w:fill="FFFFFF"/>
              <w:spacing w:before="78" w:beforeAutospacing="0" w:after="0" w:afterAutospacing="0" w:line="240" w:lineRule="exact"/>
              <w:ind w:left="39" w:right="39"/>
              <w:rPr>
                <w:rFonts w:cs="Times New Roman"/>
                <w:sz w:val="18"/>
                <w:szCs w:val="18"/>
              </w:rPr>
            </w:pPr>
            <w:r>
              <w:rPr>
                <w:rFonts w:cs="Times New Roman"/>
                <w:sz w:val="18"/>
                <w:szCs w:val="18"/>
              </w:rPr>
              <w:t>3.【规章】《建设项目使用林地审核审批管理办法》（2015年3月30日国家林业局令第35号公布，2016年9月22日国家林业局令第42号修改）第十四条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不符合上述条件的，有关人民政府林业主管部门应当作出不予使用林地的行政许可决定，向用地单位或者个人核发不予行政许可决定书，告知不予许可的理由。  有审核审批权的人民政府林业主管部门对用地单位和个人提出的使用林地申请，应当在《中华人民共和国行政许可法》规定的期限内作出行政许可决定。</w:t>
            </w:r>
            <w:r>
              <w:rPr>
                <w:rFonts w:cs="Times New Roman"/>
                <w:sz w:val="18"/>
                <w:szCs w:val="18"/>
              </w:rPr>
              <w:br w:type="textWrapping"/>
            </w:r>
            <w:r>
              <w:rPr>
                <w:rFonts w:cs="Times New Roman"/>
                <w:sz w:val="18"/>
                <w:szCs w:val="18"/>
              </w:rPr>
              <w:t xml:space="preserve">    4.【法律】《中华人民共和国行政许可法》（2003年8月27日主席令第七号公布）第四十四条 行政机关作出准予行政许可的决定，应当自作出决定之日起十日内向申请人颁发、送达行政许可证件，或者加贴标签、加盖检验、检测、检疫印章。</w:t>
            </w:r>
            <w:r>
              <w:rPr>
                <w:rFonts w:cs="Times New Roman"/>
                <w:sz w:val="18"/>
                <w:szCs w:val="18"/>
              </w:rPr>
              <w:br w:type="textWrapping"/>
            </w:r>
            <w:r>
              <w:rPr>
                <w:rFonts w:cs="Times New Roman"/>
                <w:sz w:val="18"/>
                <w:szCs w:val="18"/>
              </w:rPr>
              <w:t xml:space="preserve">    5. 法律】《中华人民共和国行政许可法》（2003年8月27日主席令第七号公布）</w:t>
            </w:r>
            <w:r>
              <w:rPr>
                <w:rFonts w:hint="eastAsia" w:cs="Times New Roman"/>
                <w:sz w:val="18"/>
                <w:szCs w:val="18"/>
              </w:rPr>
              <w:t>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528"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5556"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4.【法律】《中华人民共和国森林法》（1984年9月20日主席令第十七号公布，2009年8月27日主席令第十八号令第二次修改)第四十六条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5.【法律】《中华人民共和国行政许可法》（2003年</w:t>
            </w:r>
            <w:r>
              <w:rPr>
                <w:rFonts w:hint="eastAsia" w:cs="Times New Roman"/>
                <w:sz w:val="18"/>
                <w:szCs w:val="18"/>
              </w:rPr>
              <w:t>8月27日</w:t>
            </w:r>
            <w:r>
              <w:rPr>
                <w:rFonts w:cs="Times New Roman"/>
                <w:sz w:val="18"/>
                <w:szCs w:val="18"/>
              </w:rPr>
              <w:t>主席令第七号公布）第七十三条 行政机关工作人员办理行政许可、实施监督检查，索取或者收受他人财物或者谋取其他利益，构成犯罪的，依法追究刑事责任；尚不构成犯罪的，依法给予行政处分。</w:t>
            </w:r>
          </w:p>
        </w:tc>
        <w:tc>
          <w:tcPr>
            <w:tcW w:w="599" w:type="dxa"/>
            <w:vAlign w:val="center"/>
          </w:tcPr>
          <w:p>
            <w:pPr>
              <w:spacing w:line="240" w:lineRule="exact"/>
              <w:jc w:val="center"/>
              <w:rPr>
                <w:rFonts w:cs="Times New Roman"/>
                <w:sz w:val="18"/>
                <w:szCs w:val="18"/>
              </w:rPr>
            </w:pPr>
          </w:p>
        </w:tc>
      </w:tr>
    </w:tbl>
    <w:p>
      <w:pPr>
        <w:spacing w:line="240" w:lineRule="exact"/>
        <w:jc w:val="both"/>
        <w:rPr>
          <w:rFonts w:cs="Times New Roman"/>
          <w:sz w:val="18"/>
          <w:szCs w:val="18"/>
        </w:rPr>
      </w:pPr>
    </w:p>
    <w:p>
      <w:pPr>
        <w:spacing w:line="240" w:lineRule="exact"/>
        <w:jc w:val="both"/>
        <w:rPr>
          <w:rFonts w:cs="Times New Roman"/>
          <w:sz w:val="18"/>
          <w:szCs w:val="18"/>
        </w:rPr>
      </w:pPr>
    </w:p>
    <w:p>
      <w:pPr>
        <w:spacing w:line="240" w:lineRule="exact"/>
        <w:jc w:val="both"/>
        <w:rPr>
          <w:rFonts w:cs="Times New Roman"/>
          <w:sz w:val="18"/>
          <w:szCs w:val="18"/>
        </w:rPr>
      </w:pPr>
    </w:p>
    <w:p>
      <w:pPr>
        <w:spacing w:line="240" w:lineRule="exact"/>
        <w:jc w:val="center"/>
        <w:rPr>
          <w:rFonts w:cs="Times New Roman"/>
          <w:sz w:val="18"/>
          <w:szCs w:val="18"/>
        </w:rPr>
      </w:pPr>
    </w:p>
    <w:tbl>
      <w:tblPr>
        <w:tblStyle w:val="7"/>
        <w:tblW w:w="21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961"/>
        <w:gridCol w:w="695"/>
        <w:gridCol w:w="1041"/>
        <w:gridCol w:w="1669"/>
        <w:gridCol w:w="2056"/>
        <w:gridCol w:w="6573"/>
        <w:gridCol w:w="1701"/>
        <w:gridCol w:w="5811"/>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862" w:type="dxa"/>
            <w:vAlign w:val="center"/>
          </w:tcPr>
          <w:p>
            <w:pPr>
              <w:spacing w:line="280" w:lineRule="exact"/>
              <w:jc w:val="center"/>
              <w:rPr>
                <w:rFonts w:cs="Times New Roman"/>
                <w:sz w:val="18"/>
                <w:szCs w:val="18"/>
              </w:rPr>
            </w:pPr>
            <w:r>
              <w:rPr>
                <w:rFonts w:cs="Times New Roman"/>
                <w:sz w:val="18"/>
                <w:szCs w:val="18"/>
              </w:rPr>
              <w:t>序号</w:t>
            </w:r>
          </w:p>
        </w:tc>
        <w:tc>
          <w:tcPr>
            <w:tcW w:w="961"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695" w:type="dxa"/>
            <w:vAlign w:val="center"/>
          </w:tcPr>
          <w:p>
            <w:pPr>
              <w:spacing w:line="280" w:lineRule="exact"/>
              <w:jc w:val="center"/>
              <w:rPr>
                <w:rFonts w:cs="Times New Roman"/>
                <w:sz w:val="18"/>
                <w:szCs w:val="18"/>
              </w:rPr>
            </w:pPr>
            <w:r>
              <w:rPr>
                <w:rFonts w:cs="Times New Roman"/>
                <w:sz w:val="18"/>
                <w:szCs w:val="18"/>
              </w:rPr>
              <w:t>项目名称</w:t>
            </w:r>
          </w:p>
        </w:tc>
        <w:tc>
          <w:tcPr>
            <w:tcW w:w="1041" w:type="dxa"/>
            <w:vAlign w:val="center"/>
          </w:tcPr>
          <w:p>
            <w:pPr>
              <w:spacing w:line="280" w:lineRule="exact"/>
              <w:jc w:val="center"/>
              <w:rPr>
                <w:rFonts w:cs="Times New Roman"/>
                <w:sz w:val="18"/>
                <w:szCs w:val="18"/>
              </w:rPr>
            </w:pPr>
            <w:r>
              <w:rPr>
                <w:rFonts w:cs="Times New Roman"/>
                <w:sz w:val="18"/>
                <w:szCs w:val="18"/>
              </w:rPr>
              <w:t>子项</w:t>
            </w:r>
          </w:p>
        </w:tc>
        <w:tc>
          <w:tcPr>
            <w:tcW w:w="1669" w:type="dxa"/>
            <w:vAlign w:val="center"/>
          </w:tcPr>
          <w:p>
            <w:pPr>
              <w:spacing w:line="280" w:lineRule="exact"/>
              <w:jc w:val="center"/>
              <w:rPr>
                <w:rFonts w:cs="Times New Roman"/>
                <w:sz w:val="18"/>
                <w:szCs w:val="18"/>
              </w:rPr>
            </w:pPr>
            <w:r>
              <w:rPr>
                <w:rFonts w:cs="Times New Roman"/>
                <w:sz w:val="18"/>
                <w:szCs w:val="18"/>
              </w:rPr>
              <w:t>实施依据</w:t>
            </w:r>
          </w:p>
        </w:tc>
        <w:tc>
          <w:tcPr>
            <w:tcW w:w="2056" w:type="dxa"/>
            <w:vAlign w:val="center"/>
          </w:tcPr>
          <w:p>
            <w:pPr>
              <w:spacing w:line="280" w:lineRule="exact"/>
              <w:jc w:val="center"/>
              <w:rPr>
                <w:rFonts w:cs="Times New Roman"/>
                <w:sz w:val="18"/>
                <w:szCs w:val="18"/>
              </w:rPr>
            </w:pPr>
            <w:r>
              <w:rPr>
                <w:rFonts w:cs="Times New Roman"/>
                <w:sz w:val="18"/>
                <w:szCs w:val="18"/>
              </w:rPr>
              <w:t>责任事项</w:t>
            </w:r>
          </w:p>
        </w:tc>
        <w:tc>
          <w:tcPr>
            <w:tcW w:w="6573" w:type="dxa"/>
            <w:vAlign w:val="center"/>
          </w:tcPr>
          <w:p>
            <w:pPr>
              <w:spacing w:line="280" w:lineRule="exact"/>
              <w:jc w:val="center"/>
              <w:rPr>
                <w:rFonts w:cs="Times New Roman"/>
                <w:sz w:val="18"/>
                <w:szCs w:val="18"/>
              </w:rPr>
            </w:pPr>
            <w:r>
              <w:rPr>
                <w:rFonts w:cs="Times New Roman"/>
                <w:sz w:val="18"/>
                <w:szCs w:val="18"/>
              </w:rPr>
              <w:t>责任事项依据</w:t>
            </w:r>
          </w:p>
        </w:tc>
        <w:tc>
          <w:tcPr>
            <w:tcW w:w="1701" w:type="dxa"/>
            <w:vAlign w:val="center"/>
          </w:tcPr>
          <w:p>
            <w:pPr>
              <w:spacing w:line="280" w:lineRule="exact"/>
              <w:jc w:val="center"/>
              <w:rPr>
                <w:rFonts w:cs="Times New Roman"/>
                <w:sz w:val="18"/>
                <w:szCs w:val="18"/>
              </w:rPr>
            </w:pPr>
            <w:r>
              <w:rPr>
                <w:rFonts w:cs="Times New Roman"/>
                <w:sz w:val="18"/>
                <w:szCs w:val="18"/>
              </w:rPr>
              <w:t>追责情形</w:t>
            </w:r>
          </w:p>
        </w:tc>
        <w:tc>
          <w:tcPr>
            <w:tcW w:w="5811"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3" w:hRule="atLeast"/>
        </w:trPr>
        <w:tc>
          <w:tcPr>
            <w:tcW w:w="862" w:type="dxa"/>
            <w:vAlign w:val="center"/>
          </w:tcPr>
          <w:p>
            <w:pPr>
              <w:spacing w:line="240" w:lineRule="exact"/>
              <w:jc w:val="center"/>
              <w:rPr>
                <w:rFonts w:cs="Times New Roman"/>
                <w:sz w:val="18"/>
                <w:szCs w:val="18"/>
              </w:rPr>
            </w:pPr>
            <w:r>
              <w:rPr>
                <w:rFonts w:cs="Times New Roman"/>
                <w:sz w:val="18"/>
                <w:szCs w:val="18"/>
              </w:rPr>
              <w:t>2</w:t>
            </w:r>
          </w:p>
        </w:tc>
        <w:tc>
          <w:tcPr>
            <w:tcW w:w="961" w:type="dxa"/>
            <w:vAlign w:val="center"/>
          </w:tcPr>
          <w:p>
            <w:pPr>
              <w:spacing w:line="240" w:lineRule="exact"/>
              <w:rPr>
                <w:rFonts w:cs="Times New Roman"/>
                <w:sz w:val="18"/>
                <w:szCs w:val="18"/>
              </w:rPr>
            </w:pPr>
            <w:r>
              <w:rPr>
                <w:rFonts w:cs="Times New Roman"/>
                <w:sz w:val="18"/>
                <w:szCs w:val="18"/>
              </w:rPr>
              <w:t>行政许可</w:t>
            </w:r>
          </w:p>
        </w:tc>
        <w:tc>
          <w:tcPr>
            <w:tcW w:w="695" w:type="dxa"/>
            <w:vAlign w:val="center"/>
          </w:tcPr>
          <w:p>
            <w:pPr>
              <w:spacing w:line="240" w:lineRule="exact"/>
              <w:rPr>
                <w:rFonts w:cs="Times New Roman"/>
                <w:sz w:val="18"/>
                <w:szCs w:val="18"/>
              </w:rPr>
            </w:pPr>
            <w:r>
              <w:rPr>
                <w:rFonts w:cs="Times New Roman"/>
                <w:sz w:val="18"/>
                <w:szCs w:val="18"/>
              </w:rPr>
              <w:t>森林经营单位修筑直接为林业生产服务的工程设施占用林地审批</w:t>
            </w:r>
          </w:p>
        </w:tc>
        <w:tc>
          <w:tcPr>
            <w:tcW w:w="1041" w:type="dxa"/>
            <w:vAlign w:val="center"/>
          </w:tcPr>
          <w:p>
            <w:pPr>
              <w:spacing w:line="240" w:lineRule="exact"/>
              <w:rPr>
                <w:rFonts w:cs="Times New Roman"/>
                <w:sz w:val="18"/>
                <w:szCs w:val="18"/>
              </w:rPr>
            </w:pPr>
            <w:r>
              <w:rPr>
                <w:rFonts w:cs="Times New Roman"/>
                <w:sz w:val="18"/>
                <w:szCs w:val="18"/>
              </w:rPr>
              <w:t>　</w:t>
            </w:r>
          </w:p>
        </w:tc>
        <w:tc>
          <w:tcPr>
            <w:tcW w:w="1669" w:type="dxa"/>
            <w:vAlign w:val="center"/>
          </w:tcPr>
          <w:p>
            <w:pPr>
              <w:spacing w:line="240" w:lineRule="exact"/>
              <w:rPr>
                <w:rFonts w:cs="Times New Roman"/>
                <w:sz w:val="18"/>
                <w:szCs w:val="18"/>
              </w:rPr>
            </w:pPr>
            <w:r>
              <w:rPr>
                <w:rFonts w:cs="Times New Roman"/>
                <w:sz w:val="18"/>
                <w:szCs w:val="18"/>
              </w:rPr>
              <w:t xml:space="preserve">    【法规】《中华人民共和国森林法实施条例》(2000年1月29日国务院令第278号发布， 2016年2月6日国务院令第666号第二次修订）第十八条 森林经营单位在所经营的林地范围内修筑直接为林业生产服务的工程设施，需要占用林地的，由县级以上人民政府林业主管部门批准；修筑其他工程设施，需要将林地转为非林业建设用地的，必须依法办理建设用地审批手续。</w:t>
            </w:r>
          </w:p>
        </w:tc>
        <w:tc>
          <w:tcPr>
            <w:tcW w:w="2056" w:type="dxa"/>
            <w:vAlign w:val="center"/>
          </w:tcPr>
          <w:p>
            <w:pPr>
              <w:spacing w:line="240" w:lineRule="exact"/>
              <w:rPr>
                <w:rFonts w:cs="Times New Roman"/>
                <w:sz w:val="18"/>
                <w:szCs w:val="18"/>
              </w:rPr>
            </w:pPr>
            <w:r>
              <w:rPr>
                <w:rFonts w:cs="Times New Roman"/>
                <w:b/>
                <w:bCs/>
                <w:sz w:val="18"/>
                <w:szCs w:val="18"/>
              </w:rPr>
              <w:t>1.受理责任</w:t>
            </w:r>
            <w:r>
              <w:rPr>
                <w:rFonts w:cs="Times New Roman"/>
                <w:sz w:val="18"/>
                <w:szCs w:val="18"/>
              </w:rPr>
              <w:t>：公示依法应当提交的材料；一次性告知补正材料；依审批权限受理或不予受理（不予受理应当告知理由）</w:t>
            </w:r>
            <w:r>
              <w:rPr>
                <w:rFonts w:cs="Times New Roman"/>
                <w:sz w:val="18"/>
                <w:szCs w:val="18"/>
              </w:rPr>
              <w:br w:type="textWrapping"/>
            </w:r>
            <w:r>
              <w:rPr>
                <w:rFonts w:cs="Times New Roman"/>
                <w:b/>
                <w:bCs/>
                <w:sz w:val="18"/>
                <w:szCs w:val="18"/>
              </w:rPr>
              <w:t>2.审查责任</w:t>
            </w:r>
            <w:r>
              <w:rPr>
                <w:rFonts w:cs="Times New Roman"/>
                <w:sz w:val="18"/>
                <w:szCs w:val="18"/>
              </w:rPr>
              <w:t>：对属于本级审批权限的申请材料进行审查，审查申请材料是否齐全，是否符合法宝形式</w:t>
            </w:r>
            <w:r>
              <w:rPr>
                <w:rFonts w:hint="eastAsia" w:cs="Times New Roman"/>
                <w:sz w:val="18"/>
                <w:szCs w:val="18"/>
              </w:rPr>
              <w:t>。</w:t>
            </w:r>
            <w:r>
              <w:rPr>
                <w:rFonts w:cs="Times New Roman"/>
                <w:sz w:val="18"/>
                <w:szCs w:val="18"/>
              </w:rPr>
              <w:br w:type="textWrapping"/>
            </w:r>
            <w:r>
              <w:rPr>
                <w:rFonts w:cs="Times New Roman"/>
                <w:b/>
                <w:bCs/>
                <w:sz w:val="18"/>
                <w:szCs w:val="18"/>
              </w:rPr>
              <w:t>3.决定责任</w:t>
            </w:r>
            <w:r>
              <w:rPr>
                <w:rFonts w:cs="Times New Roman"/>
                <w:sz w:val="18"/>
                <w:szCs w:val="18"/>
              </w:rPr>
              <w:t>：对属于本级审批权限的申请作出决定（准予行政许可或不予行政许可）；按时办结。</w:t>
            </w:r>
            <w:r>
              <w:rPr>
                <w:rFonts w:cs="Times New Roman"/>
                <w:sz w:val="18"/>
                <w:szCs w:val="18"/>
              </w:rPr>
              <w:br w:type="textWrapping"/>
            </w:r>
            <w:r>
              <w:rPr>
                <w:rFonts w:cs="Times New Roman"/>
                <w:b/>
                <w:bCs/>
                <w:sz w:val="18"/>
                <w:szCs w:val="18"/>
              </w:rPr>
              <w:t>4.送达责任</w:t>
            </w:r>
            <w:r>
              <w:rPr>
                <w:rFonts w:cs="Times New Roman"/>
                <w:sz w:val="18"/>
                <w:szCs w:val="18"/>
              </w:rPr>
              <w:t>：制发送达使用林地行政许可决定书；信息公开。</w:t>
            </w:r>
            <w:r>
              <w:rPr>
                <w:rFonts w:cs="Times New Roman"/>
                <w:sz w:val="18"/>
                <w:szCs w:val="18"/>
              </w:rPr>
              <w:br w:type="textWrapping"/>
            </w:r>
            <w:r>
              <w:rPr>
                <w:rFonts w:cs="Times New Roman"/>
                <w:b/>
                <w:bCs/>
                <w:sz w:val="18"/>
                <w:szCs w:val="18"/>
              </w:rPr>
              <w:t>5.监管责任</w:t>
            </w:r>
            <w:r>
              <w:rPr>
                <w:rFonts w:cs="Times New Roman"/>
                <w:sz w:val="18"/>
                <w:szCs w:val="18"/>
              </w:rPr>
              <w:t>：建立审批档案；加强监督检查，确保项目建设依法依规使用林地。</w:t>
            </w:r>
            <w:r>
              <w:rPr>
                <w:rFonts w:cs="Times New Roman"/>
                <w:sz w:val="18"/>
                <w:szCs w:val="18"/>
              </w:rPr>
              <w:br w:type="textWrapping"/>
            </w:r>
            <w:r>
              <w:rPr>
                <w:rFonts w:cs="Times New Roman"/>
                <w:b/>
                <w:bCs/>
                <w:sz w:val="18"/>
                <w:szCs w:val="18"/>
              </w:rPr>
              <w:t>6.其他法律法规规章文件规定应承担的责任</w:t>
            </w:r>
            <w:r>
              <w:rPr>
                <w:rFonts w:cs="Times New Roman"/>
                <w:sz w:val="18"/>
                <w:szCs w:val="18"/>
              </w:rPr>
              <w:t>。</w:t>
            </w:r>
          </w:p>
        </w:tc>
        <w:tc>
          <w:tcPr>
            <w:tcW w:w="6573" w:type="dxa"/>
            <w:vAlign w:val="center"/>
          </w:tcPr>
          <w:p>
            <w:pPr>
              <w:pStyle w:val="5"/>
              <w:shd w:val="clear" w:color="auto" w:fill="FFFFFF"/>
              <w:spacing w:before="85" w:beforeAutospacing="0" w:after="0" w:afterAutospacing="0" w:line="240" w:lineRule="exact"/>
              <w:ind w:left="42" w:right="42" w:firstLine="360" w:firstLineChars="200"/>
              <w:rPr>
                <w:rFonts w:cs="Times New Roman"/>
                <w:sz w:val="18"/>
                <w:szCs w:val="18"/>
              </w:rPr>
            </w:pPr>
            <w:r>
              <w:rPr>
                <w:rFonts w:cs="Times New Roman"/>
                <w:sz w:val="18"/>
                <w:szCs w:val="18"/>
              </w:rPr>
              <w:t>1.【法律】《中华人民共和国行政许可法》（2003年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2.【规章】《建设项目使用林地审核审批管理办法》（2015年</w:t>
            </w:r>
            <w:r>
              <w:rPr>
                <w:rFonts w:hint="eastAsia" w:cs="Times New Roman"/>
                <w:sz w:val="18"/>
                <w:szCs w:val="18"/>
              </w:rPr>
              <w:t>3</w:t>
            </w:r>
            <w:r>
              <w:rPr>
                <w:rFonts w:cs="Times New Roman"/>
                <w:sz w:val="18"/>
                <w:szCs w:val="18"/>
              </w:rPr>
              <w:t>月</w:t>
            </w:r>
            <w:r>
              <w:rPr>
                <w:rFonts w:hint="eastAsia" w:cs="Times New Roman"/>
                <w:sz w:val="18"/>
                <w:szCs w:val="18"/>
              </w:rPr>
              <w:t>30</w:t>
            </w:r>
            <w:r>
              <w:rPr>
                <w:rFonts w:cs="Times New Roman"/>
                <w:sz w:val="18"/>
                <w:szCs w:val="18"/>
              </w:rPr>
              <w:t>日国家林业局令第35号</w:t>
            </w:r>
            <w:r>
              <w:rPr>
                <w:rFonts w:hint="eastAsia" w:cs="Times New Roman"/>
                <w:sz w:val="18"/>
                <w:szCs w:val="18"/>
              </w:rPr>
              <w:t>公布，2016年9月22日国家林业局令第42号修改</w:t>
            </w:r>
            <w:r>
              <w:rPr>
                <w:rFonts w:cs="Times New Roman"/>
                <w:sz w:val="18"/>
                <w:szCs w:val="18"/>
              </w:rPr>
              <w:t>）第十条  县级人民政府林业主管部门对材料齐全、符合条件的使用林地申请，应当在收到申请之日起10个工作日内，指派2名以上工作人员进行用地现场查验，并填写《使用林地现场查验表》。第十一条  县级人民政府林业主管部门对建设项目拟使用的林地，应当在林地所在地的村（组）或者林场范围内将拟使用林地用途、范围、面积等内容进行公示，公示期不少于5个工作日。但是，依照相关法律法规的规定不需要公示的除外。第十二条  按照规定需要报上级人民政府林业主管部门审核和审批的建设项目，下级人民政府林业主管部门应当将初步审查意见和全部材料报上级人民政府林业主管部门。</w:t>
            </w:r>
          </w:p>
          <w:p>
            <w:pPr>
              <w:pStyle w:val="5"/>
              <w:shd w:val="clear" w:color="auto" w:fill="FFFFFF"/>
              <w:spacing w:before="78" w:beforeAutospacing="0" w:after="0" w:afterAutospacing="0" w:line="240" w:lineRule="exact"/>
              <w:ind w:left="39" w:right="39"/>
              <w:rPr>
                <w:rFonts w:cs="Times New Roman"/>
                <w:sz w:val="18"/>
                <w:szCs w:val="18"/>
              </w:rPr>
            </w:pPr>
            <w:r>
              <w:rPr>
                <w:rFonts w:cs="Times New Roman"/>
                <w:sz w:val="18"/>
                <w:szCs w:val="18"/>
              </w:rPr>
              <w:t>3.【规章】《建设项目使用林地审核审批管理办法》（2015年3月30日国家林业局令第35号公布，2016年9月22日国家林业局令第42号修改）第十四条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不符合上述条件的，有关人民政府林业主管部门应当作出不予使用林地的行政许可决定，向用地单位或者个人核发不予行政许可决定书，告知不予许可的理由。  有审核审批权的人民政府林业主管部门对用地单位和个人提出的使用林地申请，应当在《中华人民共和国行政许可法》规定的期限内作出行政许可决定。</w:t>
            </w:r>
            <w:r>
              <w:rPr>
                <w:rFonts w:cs="Times New Roman"/>
                <w:sz w:val="18"/>
                <w:szCs w:val="18"/>
              </w:rPr>
              <w:br w:type="textWrapping"/>
            </w:r>
            <w:r>
              <w:rPr>
                <w:rFonts w:cs="Times New Roman"/>
                <w:sz w:val="18"/>
                <w:szCs w:val="18"/>
              </w:rPr>
              <w:t xml:space="preserve">    4.【法律】《中华人民共和国行政许可法》（2003年8月27日主席令第七号公布）第四十四条 行政机关作出准予行政许可的决定，应当自作出决定之日起十日内向申请人颁发、送达行政许可证件，或者加贴标签、加盖检验、检测、检疫印章。</w:t>
            </w:r>
            <w:r>
              <w:rPr>
                <w:rFonts w:cs="Times New Roman"/>
                <w:sz w:val="18"/>
                <w:szCs w:val="18"/>
              </w:rPr>
              <w:br w:type="textWrapping"/>
            </w:r>
            <w:r>
              <w:rPr>
                <w:rFonts w:cs="Times New Roman"/>
                <w:sz w:val="18"/>
                <w:szCs w:val="18"/>
              </w:rPr>
              <w:t xml:space="preserve">    5. 法律】《中华人民共和国行政许可法》（2003年8月27日主席令第七号公布）</w:t>
            </w:r>
            <w:r>
              <w:rPr>
                <w:rFonts w:hint="eastAsia" w:cs="Times New Roman"/>
                <w:sz w:val="18"/>
                <w:szCs w:val="18"/>
              </w:rPr>
              <w:t>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70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5811"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4.【法律】《中华人民共和国森林法》（1984年9月20日主席令第十七号公布，2009年8月27日主席令第十八号令第二次修改)第四十六条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5.【法律】《中华人民共和国行政许可法》（2003年</w:t>
            </w:r>
            <w:r>
              <w:rPr>
                <w:rFonts w:hint="eastAsia" w:cs="Times New Roman"/>
                <w:sz w:val="18"/>
                <w:szCs w:val="18"/>
              </w:rPr>
              <w:t>8月27日</w:t>
            </w:r>
            <w:r>
              <w:rPr>
                <w:rFonts w:cs="Times New Roman"/>
                <w:sz w:val="18"/>
                <w:szCs w:val="18"/>
              </w:rPr>
              <w:t>主席令第七号公布）第七十三条 行政机关工作人员办理行政许可、实施监督检查，索取或者收受他人财物或者谋取其他利益，构成犯罪的，依法追究刑事责任；尚不构成犯罪的，依法给予行政处分。</w:t>
            </w:r>
          </w:p>
        </w:tc>
        <w:tc>
          <w:tcPr>
            <w:tcW w:w="611" w:type="dxa"/>
          </w:tcPr>
          <w:p>
            <w:pPr>
              <w:spacing w:line="240" w:lineRule="exact"/>
              <w:jc w:val="center"/>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c>
      </w:tr>
    </w:tbl>
    <w:p>
      <w:pPr>
        <w:spacing w:line="240" w:lineRule="exact"/>
        <w:jc w:val="center"/>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1109" w:tblpY="2"/>
        <w:tblOverlap w:val="never"/>
        <w:tblW w:w="21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017"/>
        <w:gridCol w:w="860"/>
        <w:gridCol w:w="826"/>
        <w:gridCol w:w="1397"/>
        <w:gridCol w:w="2223"/>
        <w:gridCol w:w="6681"/>
        <w:gridCol w:w="1555"/>
        <w:gridCol w:w="5937"/>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15" w:type="dxa"/>
            <w:vAlign w:val="center"/>
          </w:tcPr>
          <w:p>
            <w:pPr>
              <w:spacing w:line="280" w:lineRule="exact"/>
              <w:jc w:val="center"/>
              <w:rPr>
                <w:rFonts w:cs="Times New Roman"/>
                <w:sz w:val="18"/>
                <w:szCs w:val="18"/>
              </w:rPr>
            </w:pPr>
            <w:r>
              <w:rPr>
                <w:rFonts w:cs="Times New Roman"/>
                <w:sz w:val="18"/>
                <w:szCs w:val="18"/>
              </w:rPr>
              <w:t>序号</w:t>
            </w:r>
          </w:p>
        </w:tc>
        <w:tc>
          <w:tcPr>
            <w:tcW w:w="1017"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860" w:type="dxa"/>
            <w:vAlign w:val="center"/>
          </w:tcPr>
          <w:p>
            <w:pPr>
              <w:spacing w:line="280" w:lineRule="exact"/>
              <w:jc w:val="center"/>
              <w:rPr>
                <w:rFonts w:cs="Times New Roman"/>
                <w:sz w:val="18"/>
                <w:szCs w:val="18"/>
              </w:rPr>
            </w:pPr>
            <w:r>
              <w:rPr>
                <w:rFonts w:cs="Times New Roman"/>
                <w:sz w:val="18"/>
                <w:szCs w:val="18"/>
              </w:rPr>
              <w:t>项目名称</w:t>
            </w:r>
          </w:p>
        </w:tc>
        <w:tc>
          <w:tcPr>
            <w:tcW w:w="826" w:type="dxa"/>
            <w:vAlign w:val="center"/>
          </w:tcPr>
          <w:p>
            <w:pPr>
              <w:spacing w:line="280" w:lineRule="exact"/>
              <w:jc w:val="center"/>
              <w:rPr>
                <w:rFonts w:cs="Times New Roman"/>
                <w:sz w:val="18"/>
                <w:szCs w:val="18"/>
              </w:rPr>
            </w:pPr>
            <w:r>
              <w:rPr>
                <w:rFonts w:cs="Times New Roman"/>
                <w:sz w:val="18"/>
                <w:szCs w:val="18"/>
              </w:rPr>
              <w:t>子项</w:t>
            </w:r>
          </w:p>
        </w:tc>
        <w:tc>
          <w:tcPr>
            <w:tcW w:w="1397" w:type="dxa"/>
            <w:vAlign w:val="center"/>
          </w:tcPr>
          <w:p>
            <w:pPr>
              <w:spacing w:line="280" w:lineRule="exact"/>
              <w:jc w:val="center"/>
              <w:rPr>
                <w:rFonts w:cs="Times New Roman"/>
                <w:sz w:val="18"/>
                <w:szCs w:val="18"/>
              </w:rPr>
            </w:pPr>
            <w:r>
              <w:rPr>
                <w:rFonts w:cs="Times New Roman"/>
                <w:sz w:val="18"/>
                <w:szCs w:val="18"/>
              </w:rPr>
              <w:t>实施依据</w:t>
            </w:r>
          </w:p>
        </w:tc>
        <w:tc>
          <w:tcPr>
            <w:tcW w:w="2223" w:type="dxa"/>
            <w:vAlign w:val="center"/>
          </w:tcPr>
          <w:p>
            <w:pPr>
              <w:spacing w:line="280" w:lineRule="exact"/>
              <w:jc w:val="center"/>
              <w:rPr>
                <w:rFonts w:cs="Times New Roman"/>
                <w:sz w:val="18"/>
                <w:szCs w:val="18"/>
              </w:rPr>
            </w:pPr>
            <w:r>
              <w:rPr>
                <w:rFonts w:cs="Times New Roman"/>
                <w:sz w:val="18"/>
                <w:szCs w:val="18"/>
              </w:rPr>
              <w:t>责任事项</w:t>
            </w:r>
          </w:p>
        </w:tc>
        <w:tc>
          <w:tcPr>
            <w:tcW w:w="6681" w:type="dxa"/>
            <w:vAlign w:val="center"/>
          </w:tcPr>
          <w:p>
            <w:pPr>
              <w:spacing w:line="280" w:lineRule="exact"/>
              <w:jc w:val="center"/>
              <w:rPr>
                <w:rFonts w:cs="Times New Roman"/>
                <w:sz w:val="18"/>
                <w:szCs w:val="18"/>
              </w:rPr>
            </w:pPr>
            <w:r>
              <w:rPr>
                <w:rFonts w:cs="Times New Roman"/>
                <w:sz w:val="18"/>
                <w:szCs w:val="18"/>
              </w:rPr>
              <w:t>责任事项依据</w:t>
            </w:r>
          </w:p>
        </w:tc>
        <w:tc>
          <w:tcPr>
            <w:tcW w:w="1555" w:type="dxa"/>
            <w:vAlign w:val="center"/>
          </w:tcPr>
          <w:p>
            <w:pPr>
              <w:spacing w:line="280" w:lineRule="exact"/>
              <w:jc w:val="center"/>
              <w:rPr>
                <w:rFonts w:cs="Times New Roman"/>
                <w:sz w:val="18"/>
                <w:szCs w:val="18"/>
              </w:rPr>
            </w:pPr>
            <w:r>
              <w:rPr>
                <w:rFonts w:cs="Times New Roman"/>
                <w:sz w:val="18"/>
                <w:szCs w:val="18"/>
              </w:rPr>
              <w:t>追责情形</w:t>
            </w:r>
          </w:p>
        </w:tc>
        <w:tc>
          <w:tcPr>
            <w:tcW w:w="5937" w:type="dxa"/>
            <w:vAlign w:val="center"/>
          </w:tcPr>
          <w:p>
            <w:pPr>
              <w:spacing w:line="280" w:lineRule="exact"/>
              <w:jc w:val="center"/>
              <w:rPr>
                <w:rFonts w:cs="Times New Roman"/>
                <w:sz w:val="18"/>
                <w:szCs w:val="18"/>
              </w:rPr>
            </w:pPr>
            <w:r>
              <w:rPr>
                <w:rFonts w:cs="Times New Roman"/>
                <w:sz w:val="18"/>
                <w:szCs w:val="18"/>
              </w:rPr>
              <w:t>追责依据</w:t>
            </w:r>
          </w:p>
        </w:tc>
        <w:tc>
          <w:tcPr>
            <w:tcW w:w="609"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1" w:hRule="atLeast"/>
        </w:trPr>
        <w:tc>
          <w:tcPr>
            <w:tcW w:w="815" w:type="dxa"/>
            <w:vAlign w:val="center"/>
          </w:tcPr>
          <w:p>
            <w:pPr>
              <w:spacing w:line="240" w:lineRule="exact"/>
              <w:jc w:val="center"/>
              <w:rPr>
                <w:rFonts w:cs="Times New Roman"/>
                <w:sz w:val="18"/>
                <w:szCs w:val="18"/>
              </w:rPr>
            </w:pPr>
            <w:r>
              <w:rPr>
                <w:rFonts w:cs="Times New Roman"/>
                <w:sz w:val="18"/>
                <w:szCs w:val="18"/>
              </w:rPr>
              <w:t>3</w:t>
            </w:r>
          </w:p>
        </w:tc>
        <w:tc>
          <w:tcPr>
            <w:tcW w:w="1017" w:type="dxa"/>
            <w:vAlign w:val="center"/>
          </w:tcPr>
          <w:p>
            <w:pPr>
              <w:spacing w:line="240" w:lineRule="exact"/>
              <w:rPr>
                <w:rFonts w:cs="Times New Roman"/>
                <w:sz w:val="18"/>
                <w:szCs w:val="18"/>
              </w:rPr>
            </w:pPr>
            <w:r>
              <w:rPr>
                <w:rFonts w:cs="Times New Roman"/>
                <w:sz w:val="18"/>
                <w:szCs w:val="18"/>
              </w:rPr>
              <w:t>行政许可</w:t>
            </w:r>
          </w:p>
        </w:tc>
        <w:tc>
          <w:tcPr>
            <w:tcW w:w="860" w:type="dxa"/>
            <w:vAlign w:val="center"/>
          </w:tcPr>
          <w:p>
            <w:pPr>
              <w:spacing w:line="240" w:lineRule="exact"/>
              <w:rPr>
                <w:rFonts w:cs="Times New Roman"/>
                <w:sz w:val="18"/>
                <w:szCs w:val="18"/>
              </w:rPr>
            </w:pPr>
            <w:r>
              <w:rPr>
                <w:rFonts w:cs="Times New Roman"/>
                <w:snapToGrid w:val="0"/>
                <w:sz w:val="18"/>
                <w:szCs w:val="18"/>
              </w:rPr>
              <w:t>勘查、开采矿藏和各项建设工程占用或者征收、征用林地审核</w:t>
            </w:r>
          </w:p>
        </w:tc>
        <w:tc>
          <w:tcPr>
            <w:tcW w:w="826" w:type="dxa"/>
            <w:vAlign w:val="center"/>
          </w:tcPr>
          <w:p>
            <w:pPr>
              <w:spacing w:line="240" w:lineRule="exact"/>
              <w:rPr>
                <w:rFonts w:cs="Times New Roman"/>
                <w:sz w:val="18"/>
                <w:szCs w:val="18"/>
              </w:rPr>
            </w:pPr>
            <w:r>
              <w:rPr>
                <w:rFonts w:cs="Times New Roman"/>
                <w:sz w:val="18"/>
                <w:szCs w:val="18"/>
              </w:rPr>
              <w:t>　</w:t>
            </w:r>
          </w:p>
        </w:tc>
        <w:tc>
          <w:tcPr>
            <w:tcW w:w="1397" w:type="dxa"/>
            <w:vAlign w:val="center"/>
          </w:tcPr>
          <w:p>
            <w:pPr>
              <w:spacing w:line="240" w:lineRule="exact"/>
              <w:ind w:firstLine="345"/>
              <w:rPr>
                <w:rFonts w:cs="Times New Roman"/>
                <w:sz w:val="18"/>
                <w:szCs w:val="18"/>
              </w:rPr>
            </w:pPr>
            <w:r>
              <w:rPr>
                <w:rFonts w:cs="Times New Roman"/>
                <w:sz w:val="18"/>
                <w:szCs w:val="18"/>
              </w:rPr>
              <w:t xml:space="preserve">【法规】《中华人民共和国森林法实施条例》(2000年1月29日国务院令第278号发布， 2016年2月6日国务院令第666号第二次修订）第十六条 </w:t>
            </w:r>
            <w:r>
              <w:rPr>
                <w:rFonts w:cs="Times New Roman"/>
                <w:snapToGrid w:val="0"/>
                <w:sz w:val="18"/>
                <w:szCs w:val="18"/>
              </w:rPr>
              <w:t>勘查、开采矿藏和各项建设工程占用或者征收、征用林地必须遵守下列规定：（一）用地单位应当向县级以上人民政府林业主管部门提出用地申请，审核同意后，按照国家规定的标准预交森林植被恢复费，领取使用林地审核同意书。用地单位凭使用林地审核同意书依法办理建设用地审批手续。占用或者征用林地未经林业主管部门审核同意的，土地行政主管部门不得受理建设用地申请。</w:t>
            </w:r>
          </w:p>
        </w:tc>
        <w:tc>
          <w:tcPr>
            <w:tcW w:w="2223" w:type="dxa"/>
            <w:vAlign w:val="center"/>
          </w:tcPr>
          <w:p>
            <w:pPr>
              <w:spacing w:line="240" w:lineRule="exact"/>
              <w:rPr>
                <w:rFonts w:cs="Times New Roman"/>
                <w:sz w:val="18"/>
                <w:szCs w:val="18"/>
              </w:rPr>
            </w:pPr>
            <w:r>
              <w:rPr>
                <w:rFonts w:cs="Times New Roman"/>
                <w:b/>
                <w:bCs/>
                <w:sz w:val="18"/>
                <w:szCs w:val="18"/>
              </w:rPr>
              <w:t>1.受理责任</w:t>
            </w:r>
            <w:r>
              <w:rPr>
                <w:rFonts w:cs="Times New Roman"/>
                <w:sz w:val="18"/>
                <w:szCs w:val="18"/>
              </w:rPr>
              <w:t>：县级林业主管部门公示依法应当提交的材料；一次性告知补正材料；依法受理或不予受理（不予受理应当告知理由）。</w:t>
            </w:r>
            <w:r>
              <w:rPr>
                <w:rFonts w:cs="Times New Roman"/>
                <w:sz w:val="18"/>
                <w:szCs w:val="18"/>
              </w:rPr>
              <w:br w:type="textWrapping"/>
            </w:r>
            <w:r>
              <w:rPr>
                <w:rFonts w:cs="Times New Roman"/>
                <w:b/>
                <w:bCs/>
                <w:sz w:val="18"/>
                <w:szCs w:val="18"/>
              </w:rPr>
              <w:t>2.审查责任</w:t>
            </w:r>
            <w:r>
              <w:rPr>
                <w:rFonts w:cs="Times New Roman"/>
                <w:sz w:val="18"/>
                <w:szCs w:val="18"/>
              </w:rPr>
              <w:t>：（1）县级林业主管部门责任：材料初审、现场查验、依法公示；提出初步审查意见并按要求上报材料；（2）设区市林业主管部门责任：对县级林业主管部门上报的申请材料进行审查，对申请材料不全或者不符合法定形式的，一次性书面告知用地单位或者个人限期补正；逾期未补正的，退还申请材料。</w:t>
            </w:r>
            <w:r>
              <w:rPr>
                <w:rFonts w:cs="Times New Roman"/>
                <w:sz w:val="18"/>
                <w:szCs w:val="18"/>
              </w:rPr>
              <w:br w:type="textWrapping"/>
            </w:r>
            <w:r>
              <w:rPr>
                <w:rFonts w:cs="Times New Roman"/>
                <w:b/>
                <w:bCs/>
                <w:sz w:val="18"/>
                <w:szCs w:val="18"/>
              </w:rPr>
              <w:t>3.决定责任</w:t>
            </w:r>
            <w:r>
              <w:rPr>
                <w:rFonts w:cs="Times New Roman"/>
                <w:sz w:val="18"/>
                <w:szCs w:val="18"/>
              </w:rPr>
              <w:t>：作出决定（准予行政许可或不予行政许可）；按时办结；告知预交森林植被恢复费。</w:t>
            </w:r>
            <w:r>
              <w:rPr>
                <w:rFonts w:cs="Times New Roman"/>
                <w:sz w:val="18"/>
                <w:szCs w:val="18"/>
              </w:rPr>
              <w:br w:type="textWrapping"/>
            </w:r>
            <w:r>
              <w:rPr>
                <w:rFonts w:cs="Times New Roman"/>
                <w:b/>
                <w:bCs/>
                <w:sz w:val="18"/>
                <w:szCs w:val="18"/>
              </w:rPr>
              <w:t>4.送达责任</w:t>
            </w:r>
            <w:r>
              <w:rPr>
                <w:rFonts w:cs="Times New Roman"/>
                <w:sz w:val="18"/>
                <w:szCs w:val="18"/>
              </w:rPr>
              <w:t>：制发送达使用林地行政许可决定书；信息公开。</w:t>
            </w:r>
            <w:r>
              <w:rPr>
                <w:rFonts w:cs="Times New Roman"/>
                <w:sz w:val="18"/>
                <w:szCs w:val="18"/>
              </w:rPr>
              <w:br w:type="textWrapping"/>
            </w:r>
            <w:r>
              <w:rPr>
                <w:rFonts w:cs="Times New Roman"/>
                <w:b/>
                <w:bCs/>
                <w:sz w:val="18"/>
                <w:szCs w:val="18"/>
              </w:rPr>
              <w:t>5.监管责任</w:t>
            </w:r>
            <w:r>
              <w:rPr>
                <w:rFonts w:cs="Times New Roman"/>
                <w:sz w:val="18"/>
                <w:szCs w:val="18"/>
              </w:rPr>
              <w:t>：建立工程建设项目占用林地审批档案；加强项目建设使用林地的监督检查，确保项目建设依法依规使用林地。</w:t>
            </w:r>
            <w:r>
              <w:rPr>
                <w:rFonts w:cs="Times New Roman"/>
                <w:sz w:val="18"/>
                <w:szCs w:val="18"/>
              </w:rPr>
              <w:br w:type="textWrapping"/>
            </w:r>
            <w:r>
              <w:rPr>
                <w:rFonts w:cs="Times New Roman"/>
                <w:b/>
                <w:bCs/>
                <w:sz w:val="18"/>
                <w:szCs w:val="18"/>
              </w:rPr>
              <w:t>6.其他法律法规规章文件规定应承担的责任</w:t>
            </w:r>
            <w:r>
              <w:rPr>
                <w:rFonts w:cs="Times New Roman"/>
                <w:sz w:val="18"/>
                <w:szCs w:val="18"/>
              </w:rPr>
              <w:t>。</w:t>
            </w:r>
          </w:p>
        </w:tc>
        <w:tc>
          <w:tcPr>
            <w:tcW w:w="6681" w:type="dxa"/>
            <w:vAlign w:val="center"/>
          </w:tcPr>
          <w:p>
            <w:pPr>
              <w:pStyle w:val="5"/>
              <w:shd w:val="clear" w:color="auto" w:fill="FFFFFF"/>
              <w:spacing w:before="85" w:beforeAutospacing="0" w:after="0" w:afterAutospacing="0" w:line="240" w:lineRule="exact"/>
              <w:ind w:left="42" w:right="42" w:firstLine="360" w:firstLineChars="200"/>
              <w:rPr>
                <w:rFonts w:cs="Times New Roman"/>
                <w:sz w:val="18"/>
                <w:szCs w:val="18"/>
              </w:rPr>
            </w:pPr>
            <w:r>
              <w:rPr>
                <w:rFonts w:cs="Times New Roman"/>
                <w:sz w:val="18"/>
                <w:szCs w:val="18"/>
              </w:rPr>
              <w:t>1.【法律】《中华人民共和国行政许可法》（2003年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2.【规章】《建设项目使用林地审核审批管理办法》（2015年</w:t>
            </w:r>
            <w:r>
              <w:rPr>
                <w:rFonts w:hint="eastAsia" w:cs="Times New Roman"/>
                <w:sz w:val="18"/>
                <w:szCs w:val="18"/>
              </w:rPr>
              <w:t>3</w:t>
            </w:r>
            <w:r>
              <w:rPr>
                <w:rFonts w:cs="Times New Roman"/>
                <w:sz w:val="18"/>
                <w:szCs w:val="18"/>
              </w:rPr>
              <w:t>月</w:t>
            </w:r>
            <w:r>
              <w:rPr>
                <w:rFonts w:hint="eastAsia" w:cs="Times New Roman"/>
                <w:sz w:val="18"/>
                <w:szCs w:val="18"/>
              </w:rPr>
              <w:t>30</w:t>
            </w:r>
            <w:r>
              <w:rPr>
                <w:rFonts w:cs="Times New Roman"/>
                <w:sz w:val="18"/>
                <w:szCs w:val="18"/>
              </w:rPr>
              <w:t>日国家林业局令第35号</w:t>
            </w:r>
            <w:r>
              <w:rPr>
                <w:rFonts w:hint="eastAsia" w:cs="Times New Roman"/>
                <w:sz w:val="18"/>
                <w:szCs w:val="18"/>
              </w:rPr>
              <w:t>公布，2016年9月22日国家林业局令第42号修改</w:t>
            </w:r>
            <w:r>
              <w:rPr>
                <w:rFonts w:cs="Times New Roman"/>
                <w:sz w:val="18"/>
                <w:szCs w:val="18"/>
              </w:rPr>
              <w:t>）第十条  县级人民政府林业主管部门对材料齐全、符合条件的使用林地申请，应当在收到申请之日起10个工作日内，指派2名以上工作人员进行用地现场查验，并填写《使用林地现场查验表》。第十一条  县级人民政府林业主管部门对建设项目拟使用的林地，应当在林地所在地的村（组）或者林场范围内将拟使用林地用途、范围、面积等内容进行公示，公示期不少于5个工作日。但是，依照相关法律法规的规定不需要公示的除外。第十二条  按照规定需要报上级人民政府林业主管部门审核和审批的建设项目，下级人民政府林业主管部门应当将初步审查意见和全部材料报上级人民政府林业主管部门。</w:t>
            </w:r>
          </w:p>
          <w:p>
            <w:pPr>
              <w:pStyle w:val="5"/>
              <w:shd w:val="clear" w:color="auto" w:fill="FFFFFF"/>
              <w:spacing w:before="78" w:beforeAutospacing="0" w:after="0" w:afterAutospacing="0" w:line="240" w:lineRule="exact"/>
              <w:ind w:left="39" w:right="39"/>
              <w:rPr>
                <w:rFonts w:cs="Times New Roman"/>
                <w:sz w:val="18"/>
                <w:szCs w:val="18"/>
              </w:rPr>
            </w:pPr>
            <w:r>
              <w:rPr>
                <w:rFonts w:cs="Times New Roman"/>
                <w:sz w:val="18"/>
                <w:szCs w:val="18"/>
              </w:rPr>
              <w:t>3.【规章】《建设项目使用林地审核审批管理办法》（2015年3月30日国家林业局令第35号公布，2016年9月22日国家林业局令第42号修改）第十四条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不符合上述条件的，有关人民政府林业主管部门应当作出不予使用林地的行政许可决定，向用地单位或者个人核发不予行政许可决定书，告知不予许可的理由。  有审核审批权的人民政府林业主管部门对用地单位和个人提出的使用林地申请，应当在《中华人民共和国行政许可法》规定的期限内作出行政许可决定。</w:t>
            </w:r>
            <w:r>
              <w:rPr>
                <w:rFonts w:cs="Times New Roman"/>
                <w:sz w:val="18"/>
                <w:szCs w:val="18"/>
              </w:rPr>
              <w:br w:type="textWrapping"/>
            </w:r>
            <w:r>
              <w:rPr>
                <w:rFonts w:cs="Times New Roman"/>
                <w:sz w:val="18"/>
                <w:szCs w:val="18"/>
              </w:rPr>
              <w:t xml:space="preserve">    4.【法律】《中华人民共和国行政许可法》（2003年8月27日主席令第七号公布）第四十四条 行政机关作出准予行政许可的决定，应当自作出决定之日起十日内向申请人颁发、送达行政许可证件，或者加贴标签、加盖检验、检测、检疫印章。</w:t>
            </w:r>
            <w:r>
              <w:rPr>
                <w:rFonts w:cs="Times New Roman"/>
                <w:sz w:val="18"/>
                <w:szCs w:val="18"/>
              </w:rPr>
              <w:br w:type="textWrapping"/>
            </w:r>
            <w:r>
              <w:rPr>
                <w:rFonts w:cs="Times New Roman"/>
                <w:sz w:val="18"/>
                <w:szCs w:val="18"/>
              </w:rPr>
              <w:t xml:space="preserve">    5. 法律】《中华人民共和国行政许可法》（2003年8月27日主席令第七号公布）</w:t>
            </w:r>
            <w:r>
              <w:rPr>
                <w:rFonts w:hint="eastAsia" w:cs="Times New Roman"/>
                <w:sz w:val="18"/>
                <w:szCs w:val="18"/>
              </w:rPr>
              <w:t>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555"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5937"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4.【法律】《中华人民共和国森林法》（1984年9月20日主席令第十七号公布，2009年8月27日主席令第十八号令第二次修改)第四十六条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5.【法律】《中华人民共和国行政许可法》（2003年</w:t>
            </w:r>
            <w:r>
              <w:rPr>
                <w:rFonts w:hint="eastAsia" w:cs="Times New Roman"/>
                <w:sz w:val="18"/>
                <w:szCs w:val="18"/>
              </w:rPr>
              <w:t>8月27日</w:t>
            </w:r>
            <w:r>
              <w:rPr>
                <w:rFonts w:cs="Times New Roman"/>
                <w:sz w:val="18"/>
                <w:szCs w:val="18"/>
              </w:rPr>
              <w:t>主席令第七号公布）第七十三条 行政机关工作人员办理行政许可、实施监督检查，索取或者收受他人财物或者谋取其他利益，构成犯罪的，依法追究刑事责任；尚不构成犯罪的，依法给予行政处分。</w:t>
            </w:r>
          </w:p>
        </w:tc>
        <w:tc>
          <w:tcPr>
            <w:tcW w:w="609"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957" w:tblpY="191"/>
        <w:tblOverlap w:val="never"/>
        <w:tblW w:w="21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858"/>
        <w:gridCol w:w="826"/>
        <w:gridCol w:w="842"/>
        <w:gridCol w:w="1784"/>
        <w:gridCol w:w="1940"/>
        <w:gridCol w:w="6626"/>
        <w:gridCol w:w="1551"/>
        <w:gridCol w:w="5921"/>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905" w:type="dxa"/>
            <w:vAlign w:val="center"/>
          </w:tcPr>
          <w:p>
            <w:pPr>
              <w:spacing w:line="280" w:lineRule="exact"/>
              <w:jc w:val="center"/>
              <w:rPr>
                <w:rFonts w:cs="Times New Roman"/>
                <w:sz w:val="18"/>
                <w:szCs w:val="18"/>
              </w:rPr>
            </w:pPr>
            <w:r>
              <w:rPr>
                <w:rFonts w:cs="Times New Roman"/>
                <w:sz w:val="18"/>
                <w:szCs w:val="18"/>
              </w:rPr>
              <w:t>序号</w:t>
            </w:r>
          </w:p>
        </w:tc>
        <w:tc>
          <w:tcPr>
            <w:tcW w:w="858"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826" w:type="dxa"/>
            <w:vAlign w:val="center"/>
          </w:tcPr>
          <w:p>
            <w:pPr>
              <w:spacing w:line="280" w:lineRule="exact"/>
              <w:jc w:val="center"/>
              <w:rPr>
                <w:rFonts w:cs="Times New Roman"/>
                <w:sz w:val="18"/>
                <w:szCs w:val="18"/>
              </w:rPr>
            </w:pPr>
            <w:r>
              <w:rPr>
                <w:rFonts w:cs="Times New Roman"/>
                <w:sz w:val="18"/>
                <w:szCs w:val="18"/>
              </w:rPr>
              <w:t>项目名称</w:t>
            </w:r>
          </w:p>
        </w:tc>
        <w:tc>
          <w:tcPr>
            <w:tcW w:w="842" w:type="dxa"/>
            <w:vAlign w:val="center"/>
          </w:tcPr>
          <w:p>
            <w:pPr>
              <w:spacing w:line="280" w:lineRule="exact"/>
              <w:jc w:val="center"/>
              <w:rPr>
                <w:rFonts w:cs="Times New Roman"/>
                <w:sz w:val="18"/>
                <w:szCs w:val="18"/>
              </w:rPr>
            </w:pPr>
            <w:r>
              <w:rPr>
                <w:rFonts w:cs="Times New Roman"/>
                <w:sz w:val="18"/>
                <w:szCs w:val="18"/>
              </w:rPr>
              <w:t>子项</w:t>
            </w:r>
          </w:p>
        </w:tc>
        <w:tc>
          <w:tcPr>
            <w:tcW w:w="1784" w:type="dxa"/>
            <w:vAlign w:val="center"/>
          </w:tcPr>
          <w:p>
            <w:pPr>
              <w:spacing w:line="280" w:lineRule="exact"/>
              <w:jc w:val="center"/>
              <w:rPr>
                <w:rFonts w:cs="Times New Roman"/>
                <w:sz w:val="18"/>
                <w:szCs w:val="18"/>
              </w:rPr>
            </w:pPr>
            <w:r>
              <w:rPr>
                <w:rFonts w:cs="Times New Roman"/>
                <w:sz w:val="18"/>
                <w:szCs w:val="18"/>
              </w:rPr>
              <w:t>实施依据</w:t>
            </w:r>
          </w:p>
        </w:tc>
        <w:tc>
          <w:tcPr>
            <w:tcW w:w="1940" w:type="dxa"/>
            <w:vAlign w:val="center"/>
          </w:tcPr>
          <w:p>
            <w:pPr>
              <w:spacing w:line="280" w:lineRule="exact"/>
              <w:jc w:val="center"/>
              <w:rPr>
                <w:rFonts w:cs="Times New Roman"/>
                <w:sz w:val="18"/>
                <w:szCs w:val="18"/>
              </w:rPr>
            </w:pPr>
            <w:r>
              <w:rPr>
                <w:rFonts w:cs="Times New Roman"/>
                <w:sz w:val="18"/>
                <w:szCs w:val="18"/>
              </w:rPr>
              <w:t>责任事项</w:t>
            </w:r>
          </w:p>
        </w:tc>
        <w:tc>
          <w:tcPr>
            <w:tcW w:w="6626" w:type="dxa"/>
            <w:vAlign w:val="center"/>
          </w:tcPr>
          <w:p>
            <w:pPr>
              <w:spacing w:line="280" w:lineRule="exact"/>
              <w:jc w:val="center"/>
              <w:rPr>
                <w:rFonts w:cs="Times New Roman"/>
                <w:sz w:val="18"/>
                <w:szCs w:val="18"/>
              </w:rPr>
            </w:pPr>
            <w:r>
              <w:rPr>
                <w:rFonts w:cs="Times New Roman"/>
                <w:sz w:val="18"/>
                <w:szCs w:val="18"/>
              </w:rPr>
              <w:t>责任事项依据</w:t>
            </w:r>
          </w:p>
        </w:tc>
        <w:tc>
          <w:tcPr>
            <w:tcW w:w="1551" w:type="dxa"/>
            <w:vAlign w:val="center"/>
          </w:tcPr>
          <w:p>
            <w:pPr>
              <w:spacing w:line="280" w:lineRule="exact"/>
              <w:jc w:val="center"/>
              <w:rPr>
                <w:rFonts w:cs="Times New Roman"/>
                <w:sz w:val="18"/>
                <w:szCs w:val="18"/>
              </w:rPr>
            </w:pPr>
            <w:r>
              <w:rPr>
                <w:rFonts w:cs="Times New Roman"/>
                <w:sz w:val="18"/>
                <w:szCs w:val="18"/>
              </w:rPr>
              <w:t>追责情形</w:t>
            </w:r>
          </w:p>
        </w:tc>
        <w:tc>
          <w:tcPr>
            <w:tcW w:w="5921" w:type="dxa"/>
            <w:vAlign w:val="center"/>
          </w:tcPr>
          <w:p>
            <w:pPr>
              <w:spacing w:line="280" w:lineRule="exact"/>
              <w:jc w:val="center"/>
              <w:rPr>
                <w:rFonts w:cs="Times New Roman"/>
                <w:sz w:val="18"/>
                <w:szCs w:val="18"/>
              </w:rPr>
            </w:pPr>
            <w:r>
              <w:rPr>
                <w:rFonts w:cs="Times New Roman"/>
                <w:sz w:val="18"/>
                <w:szCs w:val="18"/>
              </w:rPr>
              <w:t>追责依据</w:t>
            </w:r>
          </w:p>
        </w:tc>
        <w:tc>
          <w:tcPr>
            <w:tcW w:w="607"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8" w:hRule="atLeast"/>
        </w:trPr>
        <w:tc>
          <w:tcPr>
            <w:tcW w:w="905" w:type="dxa"/>
            <w:vAlign w:val="center"/>
          </w:tcPr>
          <w:p>
            <w:pPr>
              <w:spacing w:line="240" w:lineRule="exact"/>
              <w:jc w:val="center"/>
              <w:rPr>
                <w:rFonts w:cs="Times New Roman"/>
                <w:sz w:val="18"/>
                <w:szCs w:val="18"/>
              </w:rPr>
            </w:pPr>
            <w:r>
              <w:rPr>
                <w:rFonts w:cs="Times New Roman"/>
                <w:sz w:val="18"/>
                <w:szCs w:val="18"/>
              </w:rPr>
              <w:t>4</w:t>
            </w:r>
          </w:p>
        </w:tc>
        <w:tc>
          <w:tcPr>
            <w:tcW w:w="858" w:type="dxa"/>
            <w:vAlign w:val="center"/>
          </w:tcPr>
          <w:p>
            <w:pPr>
              <w:spacing w:line="240" w:lineRule="exact"/>
              <w:rPr>
                <w:rFonts w:cs="Times New Roman"/>
                <w:sz w:val="18"/>
                <w:szCs w:val="18"/>
              </w:rPr>
            </w:pPr>
            <w:r>
              <w:rPr>
                <w:rFonts w:cs="Times New Roman"/>
                <w:sz w:val="18"/>
                <w:szCs w:val="18"/>
              </w:rPr>
              <w:t>行政许可</w:t>
            </w:r>
          </w:p>
        </w:tc>
        <w:tc>
          <w:tcPr>
            <w:tcW w:w="826" w:type="dxa"/>
            <w:vAlign w:val="center"/>
          </w:tcPr>
          <w:p>
            <w:pPr>
              <w:spacing w:line="240" w:lineRule="exact"/>
              <w:rPr>
                <w:rFonts w:cs="Times New Roman"/>
                <w:sz w:val="18"/>
                <w:szCs w:val="18"/>
              </w:rPr>
            </w:pPr>
            <w:r>
              <w:rPr>
                <w:rFonts w:cs="Times New Roman"/>
                <w:sz w:val="18"/>
                <w:szCs w:val="18"/>
              </w:rPr>
              <w:t>林木采伐许可证核发</w:t>
            </w:r>
          </w:p>
        </w:tc>
        <w:tc>
          <w:tcPr>
            <w:tcW w:w="842" w:type="dxa"/>
            <w:vAlign w:val="center"/>
          </w:tcPr>
          <w:p>
            <w:pPr>
              <w:spacing w:line="240" w:lineRule="exact"/>
              <w:rPr>
                <w:rFonts w:cs="Times New Roman"/>
                <w:sz w:val="18"/>
                <w:szCs w:val="18"/>
              </w:rPr>
            </w:pPr>
            <w:r>
              <w:rPr>
                <w:rFonts w:cs="Times New Roman"/>
                <w:sz w:val="18"/>
                <w:szCs w:val="18"/>
              </w:rPr>
              <w:t>　</w:t>
            </w:r>
          </w:p>
        </w:tc>
        <w:tc>
          <w:tcPr>
            <w:tcW w:w="1784" w:type="dxa"/>
            <w:vAlign w:val="center"/>
          </w:tcPr>
          <w:p>
            <w:pPr>
              <w:spacing w:line="240" w:lineRule="exact"/>
              <w:rPr>
                <w:rFonts w:cs="Times New Roman"/>
                <w:sz w:val="18"/>
                <w:szCs w:val="18"/>
              </w:rPr>
            </w:pPr>
            <w:r>
              <w:rPr>
                <w:rFonts w:cs="Times New Roman"/>
                <w:sz w:val="18"/>
                <w:szCs w:val="18"/>
              </w:rPr>
              <w:t xml:space="preserve">    【法律】《中华人民共和国森林法》（1984年9月20日主席令第十七号公布，2009年8月27日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修改)第三十二条第一款 采伐林木必须申请采伐许可证，按许可证的规定进行采伐；农村居民采伐自留地和房前屋后个人所有的零星林木除外。</w:t>
            </w:r>
            <w:r>
              <w:rPr>
                <w:rFonts w:cs="Times New Roman"/>
                <w:sz w:val="18"/>
                <w:szCs w:val="18"/>
              </w:rPr>
              <w:br w:type="textWrapping"/>
            </w:r>
            <w:r>
              <w:rPr>
                <w:rFonts w:cs="Times New Roman"/>
                <w:sz w:val="18"/>
                <w:szCs w:val="18"/>
              </w:rPr>
              <w:t xml:space="preserve">    【法规】《中华人民共和国森林法实施条例》(2000年1月29日国务院令第278号发布， 2016年2月6日国务院令第666号第二次修订）第三十二条 除森林法已有明确规定的外，林木采伐许可证按照下列规定权限核发</w:t>
            </w:r>
            <w:r>
              <w:rPr>
                <w:rFonts w:hint="eastAsia" w:cs="Times New Roman"/>
                <w:sz w:val="18"/>
                <w:szCs w:val="18"/>
              </w:rPr>
              <w:t xml:space="preserve">：（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 </w:t>
            </w:r>
            <w:r>
              <w:rPr>
                <w:rFonts w:hint="eastAsia" w:cs="Times New Roman"/>
                <w:sz w:val="18"/>
                <w:szCs w:val="18"/>
              </w:rPr>
              <w:br w:type="textWrapping"/>
            </w:r>
          </w:p>
        </w:tc>
        <w:tc>
          <w:tcPr>
            <w:tcW w:w="1940" w:type="dxa"/>
            <w:vAlign w:val="center"/>
          </w:tcPr>
          <w:p>
            <w:pPr>
              <w:spacing w:line="240" w:lineRule="exact"/>
              <w:rPr>
                <w:rFonts w:cs="Times New Roman"/>
                <w:sz w:val="18"/>
                <w:szCs w:val="18"/>
              </w:rPr>
            </w:pPr>
            <w:r>
              <w:rPr>
                <w:rFonts w:cs="Times New Roman"/>
                <w:b/>
                <w:bCs/>
                <w:sz w:val="18"/>
                <w:szCs w:val="18"/>
              </w:rPr>
              <w:t>1.受理责任</w:t>
            </w:r>
            <w:r>
              <w:rPr>
                <w:rFonts w:cs="Times New Roman"/>
                <w:sz w:val="18"/>
                <w:szCs w:val="18"/>
              </w:rPr>
              <w:t>：按照审批权限公示依法应当提交的材料；一次性告知补正材料；依法受理或不予受理（不予受理应当告知理由）。</w:t>
            </w:r>
            <w:r>
              <w:rPr>
                <w:rFonts w:cs="Times New Roman"/>
                <w:sz w:val="18"/>
                <w:szCs w:val="18"/>
              </w:rPr>
              <w:br w:type="textWrapping"/>
            </w:r>
            <w:r>
              <w:rPr>
                <w:rFonts w:cs="Times New Roman"/>
                <w:b/>
                <w:bCs/>
                <w:sz w:val="18"/>
                <w:szCs w:val="18"/>
              </w:rPr>
              <w:t>2.审查责任</w:t>
            </w:r>
            <w:r>
              <w:rPr>
                <w:rFonts w:cs="Times New Roman"/>
                <w:sz w:val="18"/>
                <w:szCs w:val="18"/>
              </w:rPr>
              <w:t>：材料审核；提出审查意见。</w:t>
            </w:r>
            <w:r>
              <w:rPr>
                <w:rFonts w:cs="Times New Roman"/>
                <w:sz w:val="18"/>
                <w:szCs w:val="18"/>
              </w:rPr>
              <w:br w:type="textWrapping"/>
            </w:r>
            <w:r>
              <w:rPr>
                <w:rFonts w:cs="Times New Roman"/>
                <w:b/>
                <w:bCs/>
                <w:sz w:val="18"/>
                <w:szCs w:val="18"/>
              </w:rPr>
              <w:t>3.决定责任</w:t>
            </w:r>
            <w:r>
              <w:rPr>
                <w:rFonts w:cs="Times New Roman"/>
                <w:sz w:val="18"/>
                <w:szCs w:val="18"/>
              </w:rPr>
              <w:t>：按照审批权限作出决定（不予行政许可的应当告知理由）；按时办结。</w:t>
            </w:r>
            <w:r>
              <w:rPr>
                <w:rFonts w:cs="Times New Roman"/>
                <w:sz w:val="18"/>
                <w:szCs w:val="18"/>
              </w:rPr>
              <w:br w:type="textWrapping"/>
            </w:r>
            <w:r>
              <w:rPr>
                <w:rFonts w:cs="Times New Roman"/>
                <w:b/>
                <w:bCs/>
                <w:sz w:val="18"/>
                <w:szCs w:val="18"/>
              </w:rPr>
              <w:t>4.送达责任</w:t>
            </w:r>
            <w:r>
              <w:rPr>
                <w:rFonts w:cs="Times New Roman"/>
                <w:sz w:val="18"/>
                <w:szCs w:val="18"/>
              </w:rPr>
              <w:t>：制发送达林木采伐许可决定书；信息公开。</w:t>
            </w:r>
            <w:r>
              <w:rPr>
                <w:rFonts w:cs="Times New Roman"/>
                <w:sz w:val="18"/>
                <w:szCs w:val="18"/>
              </w:rPr>
              <w:br w:type="textWrapping"/>
            </w:r>
            <w:r>
              <w:rPr>
                <w:rFonts w:cs="Times New Roman"/>
                <w:b/>
                <w:bCs/>
                <w:sz w:val="18"/>
                <w:szCs w:val="18"/>
              </w:rPr>
              <w:t>5.监管责任</w:t>
            </w:r>
            <w:r>
              <w:rPr>
                <w:rFonts w:cs="Times New Roman"/>
                <w:sz w:val="18"/>
                <w:szCs w:val="18"/>
              </w:rPr>
              <w:t>：建立林木采伐许可档案；加强林木采伐监督检查，保护森林资源免遭破坏。</w:t>
            </w:r>
            <w:r>
              <w:rPr>
                <w:rFonts w:cs="Times New Roman"/>
                <w:sz w:val="18"/>
                <w:szCs w:val="18"/>
              </w:rPr>
              <w:br w:type="textWrapping"/>
            </w:r>
            <w:r>
              <w:rPr>
                <w:rFonts w:cs="Times New Roman"/>
                <w:b/>
                <w:bCs/>
                <w:sz w:val="18"/>
                <w:szCs w:val="18"/>
              </w:rPr>
              <w:t>6.其他法律法规规章文件规定应承担的责任</w:t>
            </w:r>
            <w:r>
              <w:rPr>
                <w:rFonts w:cs="Times New Roman"/>
                <w:sz w:val="18"/>
                <w:szCs w:val="18"/>
              </w:rPr>
              <w:t>。</w:t>
            </w:r>
          </w:p>
        </w:tc>
        <w:tc>
          <w:tcPr>
            <w:tcW w:w="6626" w:type="dxa"/>
            <w:vAlign w:val="center"/>
          </w:tcPr>
          <w:p>
            <w:pPr>
              <w:spacing w:line="240" w:lineRule="exact"/>
              <w:ind w:firstLine="360"/>
              <w:rPr>
                <w:rFonts w:cs="Times New Roman"/>
                <w:sz w:val="18"/>
                <w:szCs w:val="18"/>
              </w:rPr>
            </w:pPr>
            <w:r>
              <w:rPr>
                <w:rFonts w:cs="Times New Roman"/>
                <w:sz w:val="18"/>
                <w:szCs w:val="18"/>
              </w:rPr>
              <w:t>1.【法律】《中华人民共和国行政许可法》（2003年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2.【法律】《中华人民共和国行政许可法》（2003年8月27日主席令第七号公布）第三十四条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cs="Times New Roman"/>
                <w:sz w:val="18"/>
                <w:szCs w:val="18"/>
              </w:rPr>
              <w:br w:type="textWrapping"/>
            </w:r>
            <w:r>
              <w:rPr>
                <w:rFonts w:cs="Times New Roman"/>
                <w:sz w:val="18"/>
                <w:szCs w:val="18"/>
              </w:rPr>
              <w:t xml:space="preserve">    3.【规范性文件】《广西壮族自治区林木采伐管理办法》（桂林政发〔2013〕16号）第二十五条 核发林木采伐许可证的机关从受理之日起，对符合发证条件的应当在20个工作日内发放林木采伐许可证;对不符合发证条件的，应当场或在5个工作日内以书面形式一次性告知。</w:t>
            </w:r>
            <w:r>
              <w:rPr>
                <w:rFonts w:cs="Times New Roman"/>
                <w:sz w:val="18"/>
                <w:szCs w:val="18"/>
              </w:rPr>
              <w:br w:type="textWrapping"/>
            </w:r>
            <w:r>
              <w:rPr>
                <w:rFonts w:cs="Times New Roman"/>
                <w:sz w:val="18"/>
                <w:szCs w:val="18"/>
              </w:rPr>
              <w:t xml:space="preserve">    4.【法律】《中华人民共和国行政许可法》（2003年8月27日主席令第七号公布）第四十四条 行政机关作出准予行政许可的决定，应当自作出决定之日起十日内向申请人颁发、送达行政许可证件，或者加贴标签、加盖检验、检测、检疫印章。</w:t>
            </w:r>
            <w:r>
              <w:rPr>
                <w:rFonts w:cs="Times New Roman"/>
                <w:sz w:val="18"/>
                <w:szCs w:val="18"/>
              </w:rPr>
              <w:br w:type="textWrapping"/>
            </w:r>
            <w:r>
              <w:rPr>
                <w:rFonts w:cs="Times New Roman"/>
                <w:sz w:val="18"/>
                <w:szCs w:val="18"/>
              </w:rPr>
              <w:t xml:space="preserve">    5-1.【法律】《中华人民共和国行政许可法》（2003年8月27日主席令第七号公布）第六十一条 行政机关应当建立健全监督制度，通过核查反映被许可人从事行政许可事项活动情况的有关材料，履行监督责任。</w:t>
            </w:r>
          </w:p>
          <w:p>
            <w:pPr>
              <w:spacing w:line="240" w:lineRule="exact"/>
              <w:ind w:firstLine="360"/>
              <w:rPr>
                <w:rFonts w:cs="Times New Roman"/>
                <w:sz w:val="18"/>
                <w:szCs w:val="18"/>
              </w:rPr>
            </w:pPr>
            <w:r>
              <w:rPr>
                <w:rFonts w:cs="Times New Roman"/>
                <w:sz w:val="18"/>
                <w:szCs w:val="18"/>
              </w:rPr>
              <w:t>5-2.【法规】《森林采伐更新管理办法》（1987年8月25日国务院批准1987年9月10日林业部发布</w:t>
            </w:r>
            <w:r>
              <w:rPr>
                <w:rFonts w:hint="eastAsia" w:cs="Times New Roman"/>
                <w:sz w:val="18"/>
                <w:szCs w:val="18"/>
              </w:rPr>
              <w:t>，2011年1月8日国务院令第588号修改</w:t>
            </w:r>
            <w:r>
              <w:rPr>
                <w:rFonts w:cs="Times New Roman"/>
                <w:sz w:val="18"/>
                <w:szCs w:val="18"/>
              </w:rPr>
              <w:t>）第十三条 森林采伐后，核发林木采伐许可证的部门应当对采伐作业质量组织检查验收，签发采伐作业质量验收证明。验收证明格式由省、自治区、直辖市林业主管部门制定。</w:t>
            </w:r>
          </w:p>
        </w:tc>
        <w:tc>
          <w:tcPr>
            <w:tcW w:w="155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5921"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5.【法律】《中华人民共和国行政许可法》（2003年</w:t>
            </w:r>
            <w:r>
              <w:rPr>
                <w:rFonts w:hint="eastAsia" w:cs="Times New Roman"/>
                <w:sz w:val="18"/>
                <w:szCs w:val="18"/>
              </w:rPr>
              <w:t>8月27日</w:t>
            </w:r>
            <w:r>
              <w:rPr>
                <w:rFonts w:cs="Times New Roman"/>
                <w:sz w:val="18"/>
                <w:szCs w:val="18"/>
              </w:rPr>
              <w:t>主席令第七号公布）第七十三条 行政机关工作人员办理行政许可、实施监督检查，索取或者收受他人财物或者谋取其他利益，构成犯罪的，依法追究刑事责任；尚不构成犯罪的，依法给予行政处分。</w:t>
            </w:r>
          </w:p>
        </w:tc>
        <w:tc>
          <w:tcPr>
            <w:tcW w:w="607"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1008" w:tblpY="105"/>
        <w:tblOverlap w:val="never"/>
        <w:tblW w:w="21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1045"/>
        <w:gridCol w:w="995"/>
        <w:gridCol w:w="859"/>
        <w:gridCol w:w="1866"/>
        <w:gridCol w:w="1818"/>
        <w:gridCol w:w="5955"/>
        <w:gridCol w:w="1821"/>
        <w:gridCol w:w="5889"/>
        <w:gridCol w:w="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88" w:type="dxa"/>
            <w:vAlign w:val="center"/>
          </w:tcPr>
          <w:p>
            <w:pPr>
              <w:spacing w:line="280" w:lineRule="exact"/>
              <w:jc w:val="center"/>
              <w:rPr>
                <w:rFonts w:cs="Times New Roman"/>
                <w:sz w:val="18"/>
                <w:szCs w:val="18"/>
              </w:rPr>
            </w:pPr>
            <w:r>
              <w:rPr>
                <w:rFonts w:cs="Times New Roman"/>
                <w:sz w:val="18"/>
                <w:szCs w:val="18"/>
              </w:rPr>
              <w:t>序号</w:t>
            </w:r>
          </w:p>
        </w:tc>
        <w:tc>
          <w:tcPr>
            <w:tcW w:w="1045"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995" w:type="dxa"/>
            <w:vAlign w:val="center"/>
          </w:tcPr>
          <w:p>
            <w:pPr>
              <w:spacing w:line="280" w:lineRule="exact"/>
              <w:jc w:val="center"/>
              <w:rPr>
                <w:rFonts w:cs="Times New Roman"/>
                <w:sz w:val="18"/>
                <w:szCs w:val="18"/>
              </w:rPr>
            </w:pPr>
            <w:r>
              <w:rPr>
                <w:rFonts w:cs="Times New Roman"/>
                <w:sz w:val="18"/>
                <w:szCs w:val="18"/>
              </w:rPr>
              <w:t>项目名称</w:t>
            </w:r>
          </w:p>
        </w:tc>
        <w:tc>
          <w:tcPr>
            <w:tcW w:w="859" w:type="dxa"/>
            <w:vAlign w:val="center"/>
          </w:tcPr>
          <w:p>
            <w:pPr>
              <w:spacing w:line="280" w:lineRule="exact"/>
              <w:jc w:val="center"/>
              <w:rPr>
                <w:rFonts w:cs="Times New Roman"/>
                <w:sz w:val="18"/>
                <w:szCs w:val="18"/>
              </w:rPr>
            </w:pPr>
            <w:r>
              <w:rPr>
                <w:rFonts w:cs="Times New Roman"/>
                <w:sz w:val="18"/>
                <w:szCs w:val="18"/>
              </w:rPr>
              <w:t>子项</w:t>
            </w:r>
          </w:p>
        </w:tc>
        <w:tc>
          <w:tcPr>
            <w:tcW w:w="1866" w:type="dxa"/>
            <w:vAlign w:val="center"/>
          </w:tcPr>
          <w:p>
            <w:pPr>
              <w:spacing w:line="280" w:lineRule="exact"/>
              <w:jc w:val="center"/>
              <w:rPr>
                <w:rFonts w:cs="Times New Roman"/>
                <w:sz w:val="18"/>
                <w:szCs w:val="18"/>
              </w:rPr>
            </w:pPr>
            <w:r>
              <w:rPr>
                <w:rFonts w:cs="Times New Roman"/>
                <w:sz w:val="18"/>
                <w:szCs w:val="18"/>
              </w:rPr>
              <w:t>实施依据</w:t>
            </w:r>
          </w:p>
        </w:tc>
        <w:tc>
          <w:tcPr>
            <w:tcW w:w="1818" w:type="dxa"/>
            <w:vAlign w:val="center"/>
          </w:tcPr>
          <w:p>
            <w:pPr>
              <w:spacing w:line="280" w:lineRule="exact"/>
              <w:jc w:val="center"/>
              <w:rPr>
                <w:rFonts w:cs="Times New Roman"/>
                <w:sz w:val="18"/>
                <w:szCs w:val="18"/>
              </w:rPr>
            </w:pPr>
            <w:r>
              <w:rPr>
                <w:rFonts w:cs="Times New Roman"/>
                <w:sz w:val="18"/>
                <w:szCs w:val="18"/>
              </w:rPr>
              <w:t>责任事项</w:t>
            </w:r>
          </w:p>
        </w:tc>
        <w:tc>
          <w:tcPr>
            <w:tcW w:w="5955" w:type="dxa"/>
            <w:vAlign w:val="center"/>
          </w:tcPr>
          <w:p>
            <w:pPr>
              <w:spacing w:line="280" w:lineRule="exact"/>
              <w:jc w:val="center"/>
              <w:rPr>
                <w:rFonts w:cs="Times New Roman"/>
                <w:sz w:val="18"/>
                <w:szCs w:val="18"/>
              </w:rPr>
            </w:pPr>
            <w:r>
              <w:rPr>
                <w:rFonts w:cs="Times New Roman"/>
                <w:sz w:val="18"/>
                <w:szCs w:val="18"/>
              </w:rPr>
              <w:t>责任事项依据</w:t>
            </w:r>
          </w:p>
        </w:tc>
        <w:tc>
          <w:tcPr>
            <w:tcW w:w="1821" w:type="dxa"/>
            <w:vAlign w:val="center"/>
          </w:tcPr>
          <w:p>
            <w:pPr>
              <w:spacing w:line="280" w:lineRule="exact"/>
              <w:jc w:val="center"/>
              <w:rPr>
                <w:rFonts w:cs="Times New Roman"/>
                <w:sz w:val="18"/>
                <w:szCs w:val="18"/>
              </w:rPr>
            </w:pPr>
            <w:r>
              <w:rPr>
                <w:rFonts w:cs="Times New Roman"/>
                <w:sz w:val="18"/>
                <w:szCs w:val="18"/>
              </w:rPr>
              <w:t>追责情形</w:t>
            </w:r>
          </w:p>
        </w:tc>
        <w:tc>
          <w:tcPr>
            <w:tcW w:w="5889" w:type="dxa"/>
            <w:vAlign w:val="center"/>
          </w:tcPr>
          <w:p>
            <w:pPr>
              <w:spacing w:line="280" w:lineRule="exact"/>
              <w:jc w:val="center"/>
              <w:rPr>
                <w:rFonts w:cs="Times New Roman"/>
                <w:sz w:val="18"/>
                <w:szCs w:val="18"/>
              </w:rPr>
            </w:pPr>
            <w:r>
              <w:rPr>
                <w:rFonts w:cs="Times New Roman"/>
                <w:sz w:val="18"/>
                <w:szCs w:val="18"/>
              </w:rPr>
              <w:t>追责依据</w:t>
            </w:r>
          </w:p>
        </w:tc>
        <w:tc>
          <w:tcPr>
            <w:tcW w:w="604"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6" w:hRule="atLeast"/>
        </w:trPr>
        <w:tc>
          <w:tcPr>
            <w:tcW w:w="888" w:type="dxa"/>
            <w:vAlign w:val="center"/>
          </w:tcPr>
          <w:p>
            <w:pPr>
              <w:spacing w:line="240" w:lineRule="exact"/>
              <w:jc w:val="center"/>
              <w:rPr>
                <w:rFonts w:cs="Times New Roman"/>
                <w:sz w:val="18"/>
                <w:szCs w:val="18"/>
              </w:rPr>
            </w:pPr>
            <w:r>
              <w:rPr>
                <w:rFonts w:cs="Times New Roman"/>
                <w:sz w:val="18"/>
                <w:szCs w:val="18"/>
              </w:rPr>
              <w:t>5</w:t>
            </w:r>
          </w:p>
        </w:tc>
        <w:tc>
          <w:tcPr>
            <w:tcW w:w="1045" w:type="dxa"/>
            <w:vAlign w:val="center"/>
          </w:tcPr>
          <w:p>
            <w:pPr>
              <w:spacing w:line="240" w:lineRule="exact"/>
              <w:rPr>
                <w:rFonts w:cs="Times New Roman"/>
                <w:sz w:val="18"/>
                <w:szCs w:val="18"/>
              </w:rPr>
            </w:pPr>
            <w:r>
              <w:rPr>
                <w:rFonts w:cs="Times New Roman"/>
                <w:sz w:val="18"/>
                <w:szCs w:val="18"/>
              </w:rPr>
              <w:t>行政许可</w:t>
            </w:r>
          </w:p>
        </w:tc>
        <w:tc>
          <w:tcPr>
            <w:tcW w:w="995" w:type="dxa"/>
            <w:vAlign w:val="center"/>
          </w:tcPr>
          <w:p>
            <w:pPr>
              <w:spacing w:line="240" w:lineRule="exact"/>
              <w:rPr>
                <w:rFonts w:cs="Times New Roman"/>
                <w:sz w:val="18"/>
                <w:szCs w:val="18"/>
              </w:rPr>
            </w:pPr>
            <w:r>
              <w:rPr>
                <w:rFonts w:cs="Times New Roman"/>
                <w:sz w:val="18"/>
                <w:szCs w:val="18"/>
              </w:rPr>
              <w:t>木材运输证核发</w:t>
            </w:r>
          </w:p>
        </w:tc>
        <w:tc>
          <w:tcPr>
            <w:tcW w:w="859" w:type="dxa"/>
            <w:vAlign w:val="center"/>
          </w:tcPr>
          <w:p>
            <w:pPr>
              <w:spacing w:line="240" w:lineRule="exact"/>
              <w:rPr>
                <w:rFonts w:cs="Times New Roman"/>
                <w:sz w:val="18"/>
                <w:szCs w:val="18"/>
              </w:rPr>
            </w:pPr>
            <w:r>
              <w:rPr>
                <w:rFonts w:cs="Times New Roman"/>
                <w:sz w:val="18"/>
                <w:szCs w:val="18"/>
              </w:rPr>
              <w:t>　</w:t>
            </w:r>
          </w:p>
        </w:tc>
        <w:tc>
          <w:tcPr>
            <w:tcW w:w="1866" w:type="dxa"/>
            <w:vAlign w:val="center"/>
          </w:tcPr>
          <w:p>
            <w:pPr>
              <w:spacing w:line="240" w:lineRule="exact"/>
              <w:rPr>
                <w:rFonts w:cs="Times New Roman"/>
                <w:sz w:val="18"/>
                <w:szCs w:val="18"/>
              </w:rPr>
            </w:pPr>
            <w:r>
              <w:rPr>
                <w:rFonts w:cs="Times New Roman"/>
                <w:sz w:val="18"/>
                <w:szCs w:val="18"/>
              </w:rPr>
              <w:t xml:space="preserve">   【法律】《中华人民共和国森林法》（1984年9月20日主席令第十七号公布，2009年8月27日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修改)第三十七条第一款 从林区运出木材，必须持有林业主管部门发给的运输证件，国家统一调拨的木材除外。</w:t>
            </w:r>
            <w:r>
              <w:rPr>
                <w:rFonts w:cs="Times New Roman"/>
                <w:sz w:val="18"/>
                <w:szCs w:val="18"/>
              </w:rPr>
              <w:br w:type="textWrapping"/>
            </w:r>
            <w:r>
              <w:rPr>
                <w:rFonts w:cs="Times New Roman"/>
                <w:sz w:val="18"/>
                <w:szCs w:val="18"/>
              </w:rPr>
              <w:t xml:space="preserve">    【法规】《中华人民共和国森林法实施条例》（2000年1月29日国务院令第278号，2016年2月6日予以修改）第三十五条第一款 从林区运出非国家统一调拨的木材，必须持有县级以上人民政府林业主管部门核发的木材运输证。</w:t>
            </w:r>
            <w:r>
              <w:rPr>
                <w:rFonts w:cs="Times New Roman"/>
                <w:sz w:val="18"/>
                <w:szCs w:val="18"/>
              </w:rPr>
              <w:br w:type="textWrapping"/>
            </w:r>
            <w:r>
              <w:rPr>
                <w:rFonts w:cs="Times New Roman"/>
                <w:sz w:val="18"/>
                <w:szCs w:val="18"/>
              </w:rPr>
              <w:t xml:space="preserve">    【法规】《广西壮族自治区木材运输管理条例》（1997年7月25日公布施行，2012年3月23日第2次修正）第四条 运输木材，应当向木材所在地县级人民政府林业主管部门申办木材运输证，运输出自治区的，应当向设区的市人民政府林业主管部门申办木材运输证。</w:t>
            </w:r>
          </w:p>
        </w:tc>
        <w:tc>
          <w:tcPr>
            <w:tcW w:w="1818" w:type="dxa"/>
            <w:vAlign w:val="center"/>
          </w:tcPr>
          <w:p>
            <w:pPr>
              <w:spacing w:line="240" w:lineRule="exact"/>
              <w:rPr>
                <w:rFonts w:cs="Times New Roman"/>
                <w:sz w:val="18"/>
                <w:szCs w:val="18"/>
              </w:rPr>
            </w:pPr>
            <w:r>
              <w:rPr>
                <w:rFonts w:cs="Times New Roman"/>
                <w:b/>
                <w:bCs/>
                <w:sz w:val="18"/>
                <w:szCs w:val="18"/>
              </w:rPr>
              <w:t>1.受理责任</w:t>
            </w:r>
            <w:r>
              <w:rPr>
                <w:rFonts w:cs="Times New Roman"/>
                <w:sz w:val="18"/>
                <w:szCs w:val="18"/>
              </w:rPr>
              <w:t>：按照审批权限公示依法应当提交的材料；一次性告知补正材料；依法受理或不予受理（不予受理应当告知理由）。</w:t>
            </w:r>
            <w:r>
              <w:rPr>
                <w:rFonts w:cs="Times New Roman"/>
                <w:sz w:val="18"/>
                <w:szCs w:val="18"/>
              </w:rPr>
              <w:br w:type="textWrapping"/>
            </w:r>
            <w:r>
              <w:rPr>
                <w:rFonts w:cs="Times New Roman"/>
                <w:b/>
                <w:bCs/>
                <w:sz w:val="18"/>
                <w:szCs w:val="18"/>
              </w:rPr>
              <w:t xml:space="preserve"> 2.审查责任</w:t>
            </w:r>
            <w:r>
              <w:rPr>
                <w:rFonts w:cs="Times New Roman"/>
                <w:sz w:val="18"/>
                <w:szCs w:val="18"/>
              </w:rPr>
              <w:t>：审查是否符合发放条件。</w:t>
            </w:r>
            <w:r>
              <w:rPr>
                <w:rFonts w:cs="Times New Roman"/>
                <w:sz w:val="18"/>
                <w:szCs w:val="18"/>
              </w:rPr>
              <w:br w:type="textWrapping"/>
            </w:r>
            <w:r>
              <w:rPr>
                <w:rFonts w:cs="Times New Roman"/>
                <w:b/>
                <w:bCs/>
                <w:sz w:val="18"/>
                <w:szCs w:val="18"/>
              </w:rPr>
              <w:t>3.决定责任</w:t>
            </w:r>
            <w:r>
              <w:rPr>
                <w:rFonts w:cs="Times New Roman"/>
                <w:sz w:val="18"/>
                <w:szCs w:val="18"/>
              </w:rPr>
              <w:t>：按照审批权限作出决定，2日内办结。</w:t>
            </w:r>
            <w:r>
              <w:rPr>
                <w:rFonts w:cs="Times New Roman"/>
                <w:sz w:val="18"/>
                <w:szCs w:val="18"/>
              </w:rPr>
              <w:br w:type="textWrapping"/>
            </w:r>
            <w:r>
              <w:rPr>
                <w:rFonts w:cs="Times New Roman"/>
                <w:b/>
                <w:bCs/>
                <w:sz w:val="18"/>
                <w:szCs w:val="18"/>
              </w:rPr>
              <w:t>4.送达责任</w:t>
            </w:r>
            <w:r>
              <w:rPr>
                <w:rFonts w:cs="Times New Roman"/>
                <w:sz w:val="18"/>
                <w:szCs w:val="18"/>
              </w:rPr>
              <w:t>：核发木材运输许可证；信息公开。</w:t>
            </w:r>
            <w:r>
              <w:rPr>
                <w:rFonts w:cs="Times New Roman"/>
                <w:sz w:val="18"/>
                <w:szCs w:val="18"/>
              </w:rPr>
              <w:br w:type="textWrapping"/>
            </w:r>
            <w:r>
              <w:rPr>
                <w:rFonts w:cs="Times New Roman"/>
                <w:b/>
                <w:bCs/>
                <w:sz w:val="18"/>
                <w:szCs w:val="18"/>
              </w:rPr>
              <w:t>5.监管责任</w:t>
            </w:r>
            <w:r>
              <w:rPr>
                <w:rFonts w:cs="Times New Roman"/>
                <w:sz w:val="18"/>
                <w:szCs w:val="18"/>
              </w:rPr>
              <w:t>：加强日常监管、检查。</w:t>
            </w:r>
            <w:r>
              <w:rPr>
                <w:rFonts w:cs="Times New Roman"/>
                <w:sz w:val="18"/>
                <w:szCs w:val="18"/>
              </w:rPr>
              <w:br w:type="textWrapping"/>
            </w:r>
            <w:r>
              <w:rPr>
                <w:rFonts w:cs="Times New Roman"/>
                <w:b/>
                <w:bCs/>
                <w:sz w:val="18"/>
                <w:szCs w:val="18"/>
              </w:rPr>
              <w:t>6.其他法律法规规章文件规定应承担的责任</w:t>
            </w:r>
            <w:r>
              <w:rPr>
                <w:rFonts w:cs="Times New Roman"/>
                <w:sz w:val="18"/>
                <w:szCs w:val="18"/>
              </w:rPr>
              <w:t>。</w:t>
            </w:r>
          </w:p>
        </w:tc>
        <w:tc>
          <w:tcPr>
            <w:tcW w:w="5955" w:type="dxa"/>
            <w:vAlign w:val="center"/>
          </w:tcPr>
          <w:p>
            <w:pPr>
              <w:spacing w:line="240" w:lineRule="exact"/>
              <w:rPr>
                <w:rFonts w:cs="Times New Roman"/>
                <w:sz w:val="18"/>
                <w:szCs w:val="18"/>
              </w:rPr>
            </w:pPr>
            <w:r>
              <w:rPr>
                <w:rFonts w:cs="Times New Roman"/>
                <w:sz w:val="18"/>
                <w:szCs w:val="18"/>
              </w:rPr>
              <w:t>1.【法律】《中华人民共和国行政许可法》（2003年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2.【法律】《中华人民共和国行政许可法》（2003年8月27日主席令第七号公布）第三十四条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pacing w:line="240" w:lineRule="exact"/>
              <w:ind w:firstLine="360" w:firstLineChars="200"/>
              <w:rPr>
                <w:rFonts w:cs="Times New Roman"/>
                <w:sz w:val="18"/>
                <w:szCs w:val="18"/>
              </w:rPr>
            </w:pPr>
            <w:r>
              <w:rPr>
                <w:rFonts w:hint="eastAsia" w:cs="Times New Roman"/>
                <w:sz w:val="18"/>
                <w:szCs w:val="18"/>
              </w:rPr>
              <w:t>3</w:t>
            </w:r>
            <w:r>
              <w:rPr>
                <w:rFonts w:cs="Times New Roman"/>
                <w:sz w:val="18"/>
                <w:szCs w:val="18"/>
              </w:rPr>
              <w:t>.【法规】《广西壮族自治区木材运输管理条例》（1997年7月25日公布施行，2012年3月23日第2次修正）第六条 对申请办理木材运输证的，林业主管部门自接到申请之日起二日内，对符合办证条件的，应当发给木材运输证件。</w:t>
            </w:r>
            <w:r>
              <w:rPr>
                <w:rFonts w:cs="Times New Roman"/>
                <w:sz w:val="18"/>
                <w:szCs w:val="18"/>
              </w:rPr>
              <w:br w:type="textWrapping"/>
            </w:r>
            <w:r>
              <w:rPr>
                <w:rFonts w:cs="Times New Roman"/>
                <w:sz w:val="18"/>
                <w:szCs w:val="18"/>
              </w:rPr>
              <w:t xml:space="preserve">    4.【法律】《中华人民共和国行政许可法》（2003年8月27日主席令第七号公布）第四十四条 行政机关作出准予行政许可的决定，应当自作出决定之日起十日内向申请人颁发、送达行政许可证件，或者加贴标签、加盖检验、检测、检疫印章。</w:t>
            </w:r>
            <w:r>
              <w:rPr>
                <w:rFonts w:cs="Times New Roman"/>
                <w:sz w:val="18"/>
                <w:szCs w:val="18"/>
              </w:rPr>
              <w:br w:type="textWrapping"/>
            </w:r>
            <w:r>
              <w:rPr>
                <w:rFonts w:cs="Times New Roman"/>
                <w:sz w:val="18"/>
                <w:szCs w:val="18"/>
              </w:rPr>
              <w:t xml:space="preserve">    5.【法律】《中华人民共和国行政许可法》（2003年8月27日主席令第七号公布）第六十一条 行政机关应当建立健全监督制度，通过核查反映被许可人从事行政许可事项活动情况的有关材料，履行监督责任。</w:t>
            </w:r>
          </w:p>
        </w:tc>
        <w:tc>
          <w:tcPr>
            <w:tcW w:w="182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5889"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5.【法律】《中华人民共和国行政许可法》（2003年</w:t>
            </w:r>
            <w:r>
              <w:rPr>
                <w:rFonts w:hint="eastAsia" w:cs="Times New Roman"/>
                <w:sz w:val="18"/>
                <w:szCs w:val="18"/>
              </w:rPr>
              <w:t>8月27日</w:t>
            </w:r>
            <w:r>
              <w:rPr>
                <w:rFonts w:cs="Times New Roman"/>
                <w:sz w:val="18"/>
                <w:szCs w:val="18"/>
              </w:rPr>
              <w:t>主席令第七号公布）第七十三条 行政机关工作人员办理行政许可、实施监督检查，索取或者收受他人财物或者谋取其他利益，构成犯罪的，依法追究刑事责任；尚不构成犯罪的，依法给予行政处分。</w:t>
            </w:r>
          </w:p>
        </w:tc>
        <w:tc>
          <w:tcPr>
            <w:tcW w:w="604"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1059" w:tblpY="119"/>
        <w:tblOverlap w:val="never"/>
        <w:tblW w:w="21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025"/>
        <w:gridCol w:w="1025"/>
        <w:gridCol w:w="824"/>
        <w:gridCol w:w="1900"/>
        <w:gridCol w:w="1512"/>
        <w:gridCol w:w="6609"/>
        <w:gridCol w:w="1545"/>
        <w:gridCol w:w="5900"/>
        <w:gridCol w:w="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835" w:type="dxa"/>
            <w:vAlign w:val="center"/>
          </w:tcPr>
          <w:p>
            <w:pPr>
              <w:spacing w:line="280" w:lineRule="exact"/>
              <w:jc w:val="center"/>
              <w:rPr>
                <w:rFonts w:cs="Times New Roman"/>
                <w:sz w:val="18"/>
                <w:szCs w:val="18"/>
              </w:rPr>
            </w:pPr>
            <w:r>
              <w:rPr>
                <w:rFonts w:cs="Times New Roman"/>
                <w:sz w:val="18"/>
                <w:szCs w:val="18"/>
              </w:rPr>
              <w:t>序号</w:t>
            </w:r>
          </w:p>
        </w:tc>
        <w:tc>
          <w:tcPr>
            <w:tcW w:w="1025"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1025" w:type="dxa"/>
            <w:vAlign w:val="center"/>
          </w:tcPr>
          <w:p>
            <w:pPr>
              <w:spacing w:line="280" w:lineRule="exact"/>
              <w:jc w:val="center"/>
              <w:rPr>
                <w:rFonts w:cs="Times New Roman"/>
                <w:sz w:val="18"/>
                <w:szCs w:val="18"/>
              </w:rPr>
            </w:pPr>
            <w:r>
              <w:rPr>
                <w:rFonts w:cs="Times New Roman"/>
                <w:sz w:val="18"/>
                <w:szCs w:val="18"/>
              </w:rPr>
              <w:t>项目名称</w:t>
            </w:r>
          </w:p>
        </w:tc>
        <w:tc>
          <w:tcPr>
            <w:tcW w:w="824" w:type="dxa"/>
            <w:vAlign w:val="center"/>
          </w:tcPr>
          <w:p>
            <w:pPr>
              <w:spacing w:line="280" w:lineRule="exact"/>
              <w:jc w:val="center"/>
              <w:rPr>
                <w:rFonts w:cs="Times New Roman"/>
                <w:sz w:val="18"/>
                <w:szCs w:val="18"/>
              </w:rPr>
            </w:pPr>
            <w:r>
              <w:rPr>
                <w:rFonts w:cs="Times New Roman"/>
                <w:sz w:val="18"/>
                <w:szCs w:val="18"/>
              </w:rPr>
              <w:t>子项</w:t>
            </w:r>
          </w:p>
        </w:tc>
        <w:tc>
          <w:tcPr>
            <w:tcW w:w="1900" w:type="dxa"/>
            <w:vAlign w:val="center"/>
          </w:tcPr>
          <w:p>
            <w:pPr>
              <w:spacing w:line="280" w:lineRule="exact"/>
              <w:jc w:val="center"/>
              <w:rPr>
                <w:rFonts w:cs="Times New Roman"/>
                <w:sz w:val="18"/>
                <w:szCs w:val="18"/>
              </w:rPr>
            </w:pPr>
            <w:r>
              <w:rPr>
                <w:rFonts w:cs="Times New Roman"/>
                <w:sz w:val="18"/>
                <w:szCs w:val="18"/>
              </w:rPr>
              <w:t>实施依据</w:t>
            </w:r>
          </w:p>
        </w:tc>
        <w:tc>
          <w:tcPr>
            <w:tcW w:w="1512" w:type="dxa"/>
            <w:vAlign w:val="center"/>
          </w:tcPr>
          <w:p>
            <w:pPr>
              <w:spacing w:line="280" w:lineRule="exact"/>
              <w:jc w:val="center"/>
              <w:rPr>
                <w:rFonts w:cs="Times New Roman"/>
                <w:sz w:val="18"/>
                <w:szCs w:val="18"/>
              </w:rPr>
            </w:pPr>
            <w:r>
              <w:rPr>
                <w:rFonts w:cs="Times New Roman"/>
                <w:sz w:val="18"/>
                <w:szCs w:val="18"/>
              </w:rPr>
              <w:t>责任事项</w:t>
            </w:r>
          </w:p>
        </w:tc>
        <w:tc>
          <w:tcPr>
            <w:tcW w:w="6609" w:type="dxa"/>
            <w:vAlign w:val="center"/>
          </w:tcPr>
          <w:p>
            <w:pPr>
              <w:spacing w:line="280" w:lineRule="exact"/>
              <w:jc w:val="center"/>
              <w:rPr>
                <w:rFonts w:cs="Times New Roman"/>
                <w:sz w:val="18"/>
                <w:szCs w:val="18"/>
              </w:rPr>
            </w:pPr>
            <w:r>
              <w:rPr>
                <w:rFonts w:cs="Times New Roman"/>
                <w:sz w:val="18"/>
                <w:szCs w:val="18"/>
              </w:rPr>
              <w:t>责任事项依据</w:t>
            </w:r>
          </w:p>
        </w:tc>
        <w:tc>
          <w:tcPr>
            <w:tcW w:w="1545" w:type="dxa"/>
            <w:vAlign w:val="center"/>
          </w:tcPr>
          <w:p>
            <w:pPr>
              <w:spacing w:line="280" w:lineRule="exact"/>
              <w:jc w:val="center"/>
              <w:rPr>
                <w:rFonts w:cs="Times New Roman"/>
                <w:sz w:val="18"/>
                <w:szCs w:val="18"/>
              </w:rPr>
            </w:pPr>
            <w:r>
              <w:rPr>
                <w:rFonts w:cs="Times New Roman"/>
                <w:sz w:val="18"/>
                <w:szCs w:val="18"/>
              </w:rPr>
              <w:t>追责情形</w:t>
            </w:r>
          </w:p>
        </w:tc>
        <w:tc>
          <w:tcPr>
            <w:tcW w:w="5900" w:type="dxa"/>
            <w:vAlign w:val="center"/>
          </w:tcPr>
          <w:p>
            <w:pPr>
              <w:spacing w:line="280" w:lineRule="exact"/>
              <w:jc w:val="center"/>
              <w:rPr>
                <w:rFonts w:cs="Times New Roman"/>
                <w:sz w:val="18"/>
                <w:szCs w:val="18"/>
              </w:rPr>
            </w:pPr>
            <w:r>
              <w:rPr>
                <w:rFonts w:cs="Times New Roman"/>
                <w:sz w:val="18"/>
                <w:szCs w:val="18"/>
              </w:rPr>
              <w:t>追责依据</w:t>
            </w:r>
          </w:p>
        </w:tc>
        <w:tc>
          <w:tcPr>
            <w:tcW w:w="605"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2" w:hRule="atLeast"/>
        </w:trPr>
        <w:tc>
          <w:tcPr>
            <w:tcW w:w="835" w:type="dxa"/>
            <w:vAlign w:val="center"/>
          </w:tcPr>
          <w:p>
            <w:pPr>
              <w:spacing w:line="240" w:lineRule="exact"/>
              <w:jc w:val="center"/>
              <w:rPr>
                <w:rFonts w:cs="Times New Roman"/>
                <w:sz w:val="18"/>
                <w:szCs w:val="18"/>
              </w:rPr>
            </w:pPr>
            <w:r>
              <w:rPr>
                <w:rFonts w:cs="Times New Roman"/>
                <w:sz w:val="18"/>
                <w:szCs w:val="18"/>
              </w:rPr>
              <w:t>6</w:t>
            </w:r>
          </w:p>
        </w:tc>
        <w:tc>
          <w:tcPr>
            <w:tcW w:w="1025" w:type="dxa"/>
            <w:vAlign w:val="center"/>
          </w:tcPr>
          <w:p>
            <w:pPr>
              <w:spacing w:line="240" w:lineRule="exact"/>
              <w:rPr>
                <w:rFonts w:cs="Times New Roman"/>
                <w:sz w:val="18"/>
                <w:szCs w:val="18"/>
              </w:rPr>
            </w:pPr>
            <w:r>
              <w:rPr>
                <w:rFonts w:cs="Times New Roman"/>
                <w:sz w:val="18"/>
                <w:szCs w:val="18"/>
              </w:rPr>
              <w:t>行政许可</w:t>
            </w:r>
          </w:p>
        </w:tc>
        <w:tc>
          <w:tcPr>
            <w:tcW w:w="1025" w:type="dxa"/>
            <w:vAlign w:val="center"/>
          </w:tcPr>
          <w:p>
            <w:pPr>
              <w:spacing w:line="240" w:lineRule="exact"/>
              <w:rPr>
                <w:rFonts w:cs="Times New Roman"/>
                <w:sz w:val="18"/>
                <w:szCs w:val="18"/>
              </w:rPr>
            </w:pPr>
            <w:r>
              <w:rPr>
                <w:rFonts w:cs="Times New Roman"/>
                <w:sz w:val="18"/>
                <w:szCs w:val="18"/>
              </w:rPr>
              <w:t>在林区经营（含加工）木材审批</w:t>
            </w:r>
          </w:p>
        </w:tc>
        <w:tc>
          <w:tcPr>
            <w:tcW w:w="824" w:type="dxa"/>
            <w:vAlign w:val="center"/>
          </w:tcPr>
          <w:p>
            <w:pPr>
              <w:spacing w:line="240" w:lineRule="exact"/>
              <w:rPr>
                <w:rFonts w:cs="Times New Roman"/>
                <w:sz w:val="18"/>
                <w:szCs w:val="18"/>
              </w:rPr>
            </w:pPr>
            <w:r>
              <w:rPr>
                <w:rFonts w:cs="Times New Roman"/>
                <w:sz w:val="18"/>
                <w:szCs w:val="18"/>
              </w:rPr>
              <w:t>　</w:t>
            </w:r>
          </w:p>
        </w:tc>
        <w:tc>
          <w:tcPr>
            <w:tcW w:w="1900" w:type="dxa"/>
            <w:vAlign w:val="center"/>
          </w:tcPr>
          <w:p>
            <w:pPr>
              <w:spacing w:line="240" w:lineRule="exact"/>
              <w:rPr>
                <w:rFonts w:cs="Times New Roman"/>
                <w:sz w:val="18"/>
                <w:szCs w:val="18"/>
              </w:rPr>
            </w:pPr>
            <w:r>
              <w:rPr>
                <w:rFonts w:cs="Times New Roman"/>
                <w:sz w:val="18"/>
                <w:szCs w:val="18"/>
              </w:rPr>
              <w:t xml:space="preserve">    【法规】《中华人民共和国森林法实施条例》(2000年1月29日国务院令第278号发布， 2016年2月6日国务院令第666号第二次修订）第三十四条第一款在林区经营（含加工）木材，必须经县级以上人民政府林业主管部门批准。</w:t>
            </w:r>
            <w:r>
              <w:rPr>
                <w:rFonts w:cs="Times New Roman"/>
                <w:sz w:val="18"/>
                <w:szCs w:val="18"/>
              </w:rPr>
              <w:br w:type="textWrapping"/>
            </w:r>
            <w:r>
              <w:rPr>
                <w:rFonts w:cs="Times New Roman"/>
                <w:sz w:val="18"/>
                <w:szCs w:val="18"/>
              </w:rPr>
              <w:t xml:space="preserve">    【法规】《广西壮族自治区实施〈中华人民共和国森林法〉办法》（2006年9月29日广西第十届人大常务委员会第二十二次会议通过</w:t>
            </w:r>
            <w:r>
              <w:rPr>
                <w:rFonts w:hint="eastAsia" w:cs="Times New Roman"/>
                <w:sz w:val="18"/>
                <w:szCs w:val="18"/>
              </w:rPr>
              <w:t>，2016年11月30日</w:t>
            </w:r>
            <w:r>
              <w:rPr>
                <w:rFonts w:cs="Times New Roman"/>
                <w:sz w:val="18"/>
                <w:szCs w:val="18"/>
              </w:rPr>
              <w:t>广西壮族自治区人大常委会公告12届第63号</w:t>
            </w:r>
            <w:r>
              <w:rPr>
                <w:rFonts w:hint="eastAsia" w:cs="Times New Roman"/>
                <w:sz w:val="18"/>
                <w:szCs w:val="18"/>
              </w:rPr>
              <w:t>第二次修改</w:t>
            </w:r>
            <w:r>
              <w:rPr>
                <w:rFonts w:cs="Times New Roman"/>
                <w:sz w:val="18"/>
                <w:szCs w:val="18"/>
              </w:rPr>
              <w:t>）</w:t>
            </w:r>
            <w:r>
              <w:rPr>
                <w:rFonts w:cs="Times New Roman"/>
                <w:bCs/>
                <w:sz w:val="18"/>
                <w:szCs w:val="18"/>
              </w:rPr>
              <w:t>第三十二条</w:t>
            </w:r>
            <w:r>
              <w:rPr>
                <w:rFonts w:cs="Times New Roman"/>
                <w:sz w:val="18"/>
                <w:szCs w:val="18"/>
              </w:rPr>
              <w:t>　在林区从事木材经营（加工）的单位或者个人，应当取得木材经营（加工）许可证，并在经营（加工）许可证规定范围内进行经营（加工）活动。申领木材经营（加工）许可证，应当向县级以上人民政府林业主管部门提出书面申请。县级以上人民政府林业主管部门应当自收到申请之日起15日内作出是否许可的决定。</w:t>
            </w:r>
          </w:p>
        </w:tc>
        <w:tc>
          <w:tcPr>
            <w:tcW w:w="1512" w:type="dxa"/>
            <w:vAlign w:val="center"/>
          </w:tcPr>
          <w:p>
            <w:pPr>
              <w:spacing w:line="240" w:lineRule="exact"/>
              <w:rPr>
                <w:rFonts w:cs="Times New Roman"/>
                <w:sz w:val="18"/>
                <w:szCs w:val="18"/>
              </w:rPr>
            </w:pPr>
            <w:r>
              <w:rPr>
                <w:rFonts w:cs="Times New Roman"/>
                <w:b/>
                <w:bCs/>
                <w:sz w:val="18"/>
                <w:szCs w:val="18"/>
              </w:rPr>
              <w:t>1.受理责任</w:t>
            </w:r>
            <w:r>
              <w:rPr>
                <w:rFonts w:cs="Times New Roman"/>
                <w:sz w:val="18"/>
                <w:szCs w:val="18"/>
              </w:rPr>
              <w:t>：公示应当提交的材料，一次性告知补正材料，依法受理或不予受理（不予受理应当告知理由）。</w:t>
            </w:r>
            <w:r>
              <w:rPr>
                <w:rFonts w:cs="Times New Roman"/>
                <w:sz w:val="18"/>
                <w:szCs w:val="18"/>
              </w:rPr>
              <w:br w:type="textWrapping"/>
            </w:r>
            <w:r>
              <w:rPr>
                <w:rFonts w:cs="Times New Roman"/>
                <w:b/>
                <w:bCs/>
                <w:sz w:val="18"/>
                <w:szCs w:val="18"/>
              </w:rPr>
              <w:t xml:space="preserve"> 2.审查责任</w:t>
            </w:r>
            <w:r>
              <w:rPr>
                <w:rFonts w:cs="Times New Roman"/>
                <w:sz w:val="18"/>
                <w:szCs w:val="18"/>
              </w:rPr>
              <w:t>：审查申请材料，组织专家审查。</w:t>
            </w:r>
            <w:r>
              <w:rPr>
                <w:rFonts w:cs="Times New Roman"/>
                <w:sz w:val="18"/>
                <w:szCs w:val="18"/>
              </w:rPr>
              <w:br w:type="textWrapping"/>
            </w:r>
            <w:r>
              <w:rPr>
                <w:rFonts w:cs="Times New Roman"/>
                <w:b/>
                <w:bCs/>
                <w:sz w:val="18"/>
                <w:szCs w:val="18"/>
              </w:rPr>
              <w:t>3.决定责任</w:t>
            </w:r>
            <w:r>
              <w:rPr>
                <w:rFonts w:cs="Times New Roman"/>
                <w:sz w:val="18"/>
                <w:szCs w:val="18"/>
              </w:rPr>
              <w:t>；作出行政许可或者不予行政许可决定，法定告知(不予许可的应当书面告知理由) 。</w:t>
            </w:r>
            <w:r>
              <w:rPr>
                <w:rFonts w:cs="Times New Roman"/>
                <w:sz w:val="18"/>
                <w:szCs w:val="18"/>
              </w:rPr>
              <w:br w:type="textWrapping"/>
            </w:r>
            <w:r>
              <w:rPr>
                <w:rFonts w:cs="Times New Roman"/>
                <w:b/>
                <w:bCs/>
                <w:sz w:val="18"/>
                <w:szCs w:val="18"/>
              </w:rPr>
              <w:t>4.送达责任</w:t>
            </w:r>
            <w:r>
              <w:rPr>
                <w:rFonts w:cs="Times New Roman"/>
                <w:sz w:val="18"/>
                <w:szCs w:val="18"/>
              </w:rPr>
              <w:t>：准予许可的，制发批文，送达并信息公开。</w:t>
            </w:r>
            <w:r>
              <w:rPr>
                <w:rFonts w:cs="Times New Roman"/>
                <w:sz w:val="18"/>
                <w:szCs w:val="18"/>
              </w:rPr>
              <w:br w:type="textWrapping"/>
            </w:r>
            <w:r>
              <w:rPr>
                <w:rFonts w:cs="Times New Roman"/>
                <w:b/>
                <w:bCs/>
                <w:sz w:val="18"/>
                <w:szCs w:val="18"/>
              </w:rPr>
              <w:t>5.监管责任</w:t>
            </w:r>
            <w:r>
              <w:rPr>
                <w:rFonts w:cs="Times New Roman"/>
                <w:sz w:val="18"/>
                <w:szCs w:val="18"/>
              </w:rPr>
              <w:t>：建立实施监督检查的运行机制和管理制度，开展定期和不定期检查，依法采取相关处置措施。</w:t>
            </w:r>
            <w:r>
              <w:rPr>
                <w:rFonts w:cs="Times New Roman"/>
                <w:sz w:val="18"/>
                <w:szCs w:val="18"/>
              </w:rPr>
              <w:br w:type="textWrapping"/>
            </w:r>
            <w:r>
              <w:rPr>
                <w:rFonts w:cs="Times New Roman"/>
                <w:b/>
                <w:bCs/>
                <w:sz w:val="18"/>
                <w:szCs w:val="18"/>
              </w:rPr>
              <w:t>6.其他法律法规规章文件规定应履行的责任</w:t>
            </w:r>
            <w:r>
              <w:rPr>
                <w:rFonts w:cs="Times New Roman"/>
                <w:sz w:val="18"/>
                <w:szCs w:val="18"/>
              </w:rPr>
              <w:t>。</w:t>
            </w:r>
          </w:p>
        </w:tc>
        <w:tc>
          <w:tcPr>
            <w:tcW w:w="6609" w:type="dxa"/>
            <w:vAlign w:val="center"/>
          </w:tcPr>
          <w:p>
            <w:pPr>
              <w:spacing w:line="240" w:lineRule="exact"/>
              <w:ind w:firstLine="360"/>
              <w:rPr>
                <w:rFonts w:cs="Times New Roman"/>
                <w:sz w:val="18"/>
                <w:szCs w:val="18"/>
              </w:rPr>
            </w:pPr>
            <w:r>
              <w:rPr>
                <w:rFonts w:cs="Times New Roman"/>
                <w:sz w:val="18"/>
                <w:szCs w:val="18"/>
              </w:rPr>
              <w:t>1.【法律】《中华人民共和国行政许可法》（2003年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 xml:space="preserve">    2.【法律】《中华人民共和国行政许可法》（2003年8月27日主席令第七号公布）第三十四条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pPr>
              <w:spacing w:line="240" w:lineRule="exact"/>
              <w:ind w:firstLine="360"/>
              <w:rPr>
                <w:rFonts w:cs="Times New Roman"/>
                <w:sz w:val="18"/>
                <w:szCs w:val="18"/>
              </w:rPr>
            </w:pPr>
            <w:r>
              <w:rPr>
                <w:rFonts w:cs="Times New Roman"/>
                <w:sz w:val="18"/>
                <w:szCs w:val="18"/>
              </w:rPr>
              <w:t>3-1.【法律】《中华人民共和国行政许可法》（2003年8月27日主席令第七号公布）第三十七条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cs="Times New Roman"/>
                <w:sz w:val="18"/>
                <w:szCs w:val="18"/>
              </w:rPr>
              <w:br w:type="textWrapping"/>
            </w:r>
            <w:r>
              <w:rPr>
                <w:rFonts w:cs="Times New Roman"/>
                <w:sz w:val="18"/>
                <w:szCs w:val="18"/>
              </w:rPr>
              <w:t xml:space="preserve">    3-2.【法规】《广西壮族自治区实施〈中华人民共和国森林法〉办法》（2006年9月29日广西第十届人大</w:t>
            </w:r>
            <w:bookmarkStart w:id="0" w:name="_GoBack"/>
            <w:bookmarkEnd w:id="0"/>
            <w:r>
              <w:rPr>
                <w:rFonts w:cs="Times New Roman"/>
                <w:sz w:val="18"/>
                <w:szCs w:val="18"/>
              </w:rPr>
              <w:t xml:space="preserve">常务委员会第二十二次会议通过　2014年5月30日第一次修正）第三十三条第二款 申领木材经营（加工）许可证，应当向县级以上人民政府林业主管部门提出书面申请。县级以上人民政府林业主管部门应当自收到申请之日起15日内作出是否许可的决定。    </w:t>
            </w:r>
          </w:p>
          <w:p>
            <w:pPr>
              <w:spacing w:line="240" w:lineRule="exact"/>
              <w:ind w:firstLine="360"/>
              <w:rPr>
                <w:rFonts w:cs="Times New Roman"/>
                <w:sz w:val="18"/>
                <w:szCs w:val="18"/>
              </w:rPr>
            </w:pPr>
            <w:r>
              <w:rPr>
                <w:rFonts w:cs="Times New Roman"/>
                <w:sz w:val="18"/>
                <w:szCs w:val="18"/>
              </w:rPr>
              <w:t>4.【法律】《中华人民共和国行政许可法》（2003年8月27日主席令第七号公布）第四十四条 行政机关作出准予行政许可的决定，应当自作出决定之日起十日内向申请人颁发、送达行政许可证件，或者加贴标签、加盖检验、检测、检疫印章。</w:t>
            </w:r>
            <w:r>
              <w:rPr>
                <w:rFonts w:cs="Times New Roman"/>
                <w:sz w:val="18"/>
                <w:szCs w:val="18"/>
              </w:rPr>
              <w:br w:type="textWrapping"/>
            </w:r>
            <w:r>
              <w:rPr>
                <w:rFonts w:cs="Times New Roman"/>
                <w:sz w:val="18"/>
                <w:szCs w:val="18"/>
              </w:rPr>
              <w:t xml:space="preserve">    5.【规范性文件】《国家林业局关于进一步加强木材经营加工监督管理的通知》（林资发〔2006〕109号）三、切实加强对木材经营加工单位的监督管理 （一）建立木材经营加工监管制度。各级林业主管部门要对本行政区域内依法批准设立的木材经营加工单位进行定期的监督检查，对违反规定进行经营加工木材的单位，原批准机关应依法撤销其木材经营加工的资格。</w:t>
            </w:r>
          </w:p>
        </w:tc>
        <w:tc>
          <w:tcPr>
            <w:tcW w:w="1545"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5900"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5.【法律】《中华人民共和国行政许可法》（2003年</w:t>
            </w:r>
            <w:r>
              <w:rPr>
                <w:rFonts w:hint="eastAsia" w:cs="Times New Roman"/>
                <w:sz w:val="18"/>
                <w:szCs w:val="18"/>
              </w:rPr>
              <w:t>8月27日</w:t>
            </w:r>
            <w:r>
              <w:rPr>
                <w:rFonts w:cs="Times New Roman"/>
                <w:sz w:val="18"/>
                <w:szCs w:val="18"/>
              </w:rPr>
              <w:t>主席令第七号公布）第七十三条 行政机关工作人员办理行政许可、实施监督检查，索取或者收受他人财物或者谋取其他利益，构成犯罪的，依法追究刑事责任；尚不构成犯罪的，依法给予行政处分。</w:t>
            </w:r>
          </w:p>
        </w:tc>
        <w:tc>
          <w:tcPr>
            <w:tcW w:w="605"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924" w:tblpY="90"/>
        <w:tblOverlap w:val="never"/>
        <w:tblW w:w="22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013"/>
        <w:gridCol w:w="981"/>
        <w:gridCol w:w="878"/>
        <w:gridCol w:w="1859"/>
        <w:gridCol w:w="1639"/>
        <w:gridCol w:w="7670"/>
        <w:gridCol w:w="1421"/>
        <w:gridCol w:w="4974"/>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992" w:type="dxa"/>
            <w:vAlign w:val="center"/>
          </w:tcPr>
          <w:p>
            <w:pPr>
              <w:spacing w:line="280" w:lineRule="exact"/>
              <w:jc w:val="center"/>
              <w:rPr>
                <w:rFonts w:cs="Times New Roman"/>
                <w:sz w:val="18"/>
                <w:szCs w:val="18"/>
              </w:rPr>
            </w:pPr>
            <w:r>
              <w:rPr>
                <w:rFonts w:cs="Times New Roman"/>
                <w:sz w:val="18"/>
                <w:szCs w:val="18"/>
              </w:rPr>
              <w:t>序号</w:t>
            </w:r>
          </w:p>
        </w:tc>
        <w:tc>
          <w:tcPr>
            <w:tcW w:w="1013"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981" w:type="dxa"/>
            <w:vAlign w:val="center"/>
          </w:tcPr>
          <w:p>
            <w:pPr>
              <w:spacing w:line="280" w:lineRule="exact"/>
              <w:jc w:val="center"/>
              <w:rPr>
                <w:rFonts w:cs="Times New Roman"/>
                <w:sz w:val="18"/>
                <w:szCs w:val="18"/>
              </w:rPr>
            </w:pPr>
            <w:r>
              <w:rPr>
                <w:rFonts w:cs="Times New Roman"/>
                <w:sz w:val="18"/>
                <w:szCs w:val="18"/>
              </w:rPr>
              <w:t>项目名称</w:t>
            </w:r>
          </w:p>
        </w:tc>
        <w:tc>
          <w:tcPr>
            <w:tcW w:w="878" w:type="dxa"/>
            <w:vAlign w:val="center"/>
          </w:tcPr>
          <w:p>
            <w:pPr>
              <w:spacing w:line="280" w:lineRule="exact"/>
              <w:jc w:val="center"/>
              <w:rPr>
                <w:rFonts w:cs="Times New Roman"/>
                <w:sz w:val="18"/>
                <w:szCs w:val="18"/>
              </w:rPr>
            </w:pPr>
            <w:r>
              <w:rPr>
                <w:rFonts w:cs="Times New Roman"/>
                <w:sz w:val="18"/>
                <w:szCs w:val="18"/>
              </w:rPr>
              <w:t>子项</w:t>
            </w:r>
          </w:p>
        </w:tc>
        <w:tc>
          <w:tcPr>
            <w:tcW w:w="1859" w:type="dxa"/>
            <w:vAlign w:val="center"/>
          </w:tcPr>
          <w:p>
            <w:pPr>
              <w:spacing w:line="280" w:lineRule="exact"/>
              <w:jc w:val="center"/>
              <w:rPr>
                <w:rFonts w:cs="Times New Roman"/>
                <w:sz w:val="18"/>
                <w:szCs w:val="18"/>
              </w:rPr>
            </w:pPr>
            <w:r>
              <w:rPr>
                <w:rFonts w:cs="Times New Roman"/>
                <w:sz w:val="18"/>
                <w:szCs w:val="18"/>
              </w:rPr>
              <w:t>实施依据</w:t>
            </w:r>
          </w:p>
        </w:tc>
        <w:tc>
          <w:tcPr>
            <w:tcW w:w="1639" w:type="dxa"/>
            <w:vAlign w:val="center"/>
          </w:tcPr>
          <w:p>
            <w:pPr>
              <w:spacing w:line="280" w:lineRule="exact"/>
              <w:jc w:val="center"/>
              <w:rPr>
                <w:rFonts w:cs="Times New Roman"/>
                <w:sz w:val="18"/>
                <w:szCs w:val="18"/>
              </w:rPr>
            </w:pPr>
            <w:r>
              <w:rPr>
                <w:rFonts w:cs="Times New Roman"/>
                <w:sz w:val="18"/>
                <w:szCs w:val="18"/>
              </w:rPr>
              <w:t>责任事项</w:t>
            </w:r>
          </w:p>
        </w:tc>
        <w:tc>
          <w:tcPr>
            <w:tcW w:w="7670" w:type="dxa"/>
            <w:vAlign w:val="center"/>
          </w:tcPr>
          <w:p>
            <w:pPr>
              <w:spacing w:line="280" w:lineRule="exact"/>
              <w:jc w:val="center"/>
              <w:rPr>
                <w:rFonts w:cs="Times New Roman"/>
                <w:sz w:val="18"/>
                <w:szCs w:val="18"/>
              </w:rPr>
            </w:pPr>
            <w:r>
              <w:rPr>
                <w:rFonts w:cs="Times New Roman"/>
                <w:sz w:val="18"/>
                <w:szCs w:val="18"/>
              </w:rPr>
              <w:t>责任事项依据</w:t>
            </w:r>
          </w:p>
        </w:tc>
        <w:tc>
          <w:tcPr>
            <w:tcW w:w="1421" w:type="dxa"/>
            <w:vAlign w:val="center"/>
          </w:tcPr>
          <w:p>
            <w:pPr>
              <w:spacing w:line="280" w:lineRule="exact"/>
              <w:jc w:val="center"/>
              <w:rPr>
                <w:rFonts w:cs="Times New Roman"/>
                <w:sz w:val="18"/>
                <w:szCs w:val="18"/>
              </w:rPr>
            </w:pPr>
            <w:r>
              <w:rPr>
                <w:rFonts w:cs="Times New Roman"/>
                <w:sz w:val="18"/>
                <w:szCs w:val="18"/>
              </w:rPr>
              <w:t>追责情形</w:t>
            </w:r>
          </w:p>
        </w:tc>
        <w:tc>
          <w:tcPr>
            <w:tcW w:w="4974" w:type="dxa"/>
            <w:vAlign w:val="center"/>
          </w:tcPr>
          <w:p>
            <w:pPr>
              <w:spacing w:line="280" w:lineRule="exact"/>
              <w:jc w:val="center"/>
              <w:rPr>
                <w:rFonts w:cs="Times New Roman"/>
                <w:sz w:val="18"/>
                <w:szCs w:val="18"/>
              </w:rPr>
            </w:pPr>
            <w:r>
              <w:rPr>
                <w:rFonts w:cs="Times New Roman"/>
                <w:sz w:val="18"/>
                <w:szCs w:val="18"/>
              </w:rPr>
              <w:t>追责依据</w:t>
            </w:r>
          </w:p>
        </w:tc>
        <w:tc>
          <w:tcPr>
            <w:tcW w:w="613"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0" w:hRule="atLeast"/>
        </w:trPr>
        <w:tc>
          <w:tcPr>
            <w:tcW w:w="992" w:type="dxa"/>
            <w:vAlign w:val="center"/>
          </w:tcPr>
          <w:p>
            <w:pPr>
              <w:spacing w:line="240" w:lineRule="exact"/>
              <w:jc w:val="center"/>
              <w:rPr>
                <w:rFonts w:cs="Times New Roman"/>
                <w:sz w:val="18"/>
                <w:szCs w:val="18"/>
              </w:rPr>
            </w:pPr>
            <w:r>
              <w:rPr>
                <w:rFonts w:cs="Times New Roman"/>
                <w:sz w:val="18"/>
                <w:szCs w:val="18"/>
              </w:rPr>
              <w:t>7</w:t>
            </w:r>
          </w:p>
        </w:tc>
        <w:tc>
          <w:tcPr>
            <w:tcW w:w="1013" w:type="dxa"/>
            <w:vAlign w:val="center"/>
          </w:tcPr>
          <w:p>
            <w:pPr>
              <w:spacing w:line="240" w:lineRule="exact"/>
              <w:rPr>
                <w:rFonts w:cs="Times New Roman"/>
                <w:sz w:val="18"/>
                <w:szCs w:val="18"/>
              </w:rPr>
            </w:pPr>
            <w:r>
              <w:rPr>
                <w:rFonts w:cs="Times New Roman"/>
                <w:sz w:val="18"/>
                <w:szCs w:val="18"/>
              </w:rPr>
              <w:t>行政许可</w:t>
            </w:r>
          </w:p>
        </w:tc>
        <w:tc>
          <w:tcPr>
            <w:tcW w:w="981" w:type="dxa"/>
            <w:vAlign w:val="center"/>
          </w:tcPr>
          <w:p>
            <w:pPr>
              <w:spacing w:line="240" w:lineRule="exact"/>
              <w:rPr>
                <w:rFonts w:cs="Times New Roman"/>
                <w:sz w:val="18"/>
                <w:szCs w:val="18"/>
              </w:rPr>
            </w:pPr>
            <w:r>
              <w:rPr>
                <w:rFonts w:cs="Times New Roman"/>
                <w:sz w:val="18"/>
                <w:szCs w:val="18"/>
              </w:rPr>
              <w:t>林业植物检疫证书核发</w:t>
            </w:r>
          </w:p>
        </w:tc>
        <w:tc>
          <w:tcPr>
            <w:tcW w:w="878" w:type="dxa"/>
            <w:vAlign w:val="center"/>
          </w:tcPr>
          <w:p>
            <w:pPr>
              <w:spacing w:line="240" w:lineRule="exact"/>
              <w:rPr>
                <w:rFonts w:cs="Times New Roman"/>
                <w:sz w:val="18"/>
                <w:szCs w:val="18"/>
              </w:rPr>
            </w:pPr>
            <w:r>
              <w:rPr>
                <w:rFonts w:cs="Times New Roman"/>
                <w:sz w:val="18"/>
                <w:szCs w:val="18"/>
              </w:rPr>
              <w:t>　</w:t>
            </w:r>
          </w:p>
        </w:tc>
        <w:tc>
          <w:tcPr>
            <w:tcW w:w="1859" w:type="dxa"/>
            <w:vAlign w:val="center"/>
          </w:tcPr>
          <w:p>
            <w:pPr>
              <w:spacing w:line="240" w:lineRule="exact"/>
              <w:rPr>
                <w:rFonts w:cs="Times New Roman"/>
                <w:sz w:val="18"/>
                <w:szCs w:val="18"/>
              </w:rPr>
            </w:pPr>
            <w:r>
              <w:rPr>
                <w:rFonts w:cs="Times New Roman"/>
                <w:sz w:val="18"/>
                <w:szCs w:val="18"/>
              </w:rPr>
              <w:t>【法规】《植物检疫条例》（1983年1月3日国务院发布并施行，1992年5月13日修订）第二条 县级以上地方各级农业主管部门、林业主管部门所属的植物检疫机构，负责执行国家的植物检疫任务。第七条 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 第八条 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w:t>
            </w:r>
          </w:p>
        </w:tc>
        <w:tc>
          <w:tcPr>
            <w:tcW w:w="1639" w:type="dxa"/>
            <w:vAlign w:val="center"/>
          </w:tcPr>
          <w:p>
            <w:pPr>
              <w:spacing w:line="240" w:lineRule="exact"/>
              <w:rPr>
                <w:rFonts w:cs="Times New Roman"/>
                <w:sz w:val="18"/>
                <w:szCs w:val="18"/>
              </w:rPr>
            </w:pPr>
            <w:r>
              <w:rPr>
                <w:rFonts w:cs="Times New Roman"/>
                <w:b/>
                <w:bCs/>
                <w:sz w:val="18"/>
                <w:szCs w:val="18"/>
              </w:rPr>
              <w:t xml:space="preserve"> 1.受理责任</w:t>
            </w:r>
            <w:r>
              <w:rPr>
                <w:rFonts w:cs="Times New Roman"/>
                <w:sz w:val="18"/>
                <w:szCs w:val="18"/>
              </w:rPr>
              <w:t>：公示应当提交的材料，一次性告知补正材料，依法受理或不予受理（不予受理应当告知理由）。</w:t>
            </w:r>
            <w:r>
              <w:rPr>
                <w:rFonts w:cs="Times New Roman"/>
                <w:sz w:val="18"/>
                <w:szCs w:val="18"/>
              </w:rPr>
              <w:br w:type="textWrapping"/>
            </w:r>
            <w:r>
              <w:rPr>
                <w:rFonts w:cs="Times New Roman"/>
                <w:b/>
                <w:bCs/>
                <w:sz w:val="18"/>
                <w:szCs w:val="18"/>
              </w:rPr>
              <w:t xml:space="preserve"> 2.审查责任</w:t>
            </w:r>
            <w:r>
              <w:rPr>
                <w:rFonts w:cs="Times New Roman"/>
                <w:sz w:val="18"/>
                <w:szCs w:val="18"/>
              </w:rPr>
              <w:t>：审查申请材料，组织现场检查。</w:t>
            </w:r>
            <w:r>
              <w:rPr>
                <w:rFonts w:cs="Times New Roman"/>
                <w:sz w:val="18"/>
                <w:szCs w:val="18"/>
              </w:rPr>
              <w:br w:type="textWrapping"/>
            </w:r>
            <w:r>
              <w:rPr>
                <w:rFonts w:cs="Times New Roman"/>
                <w:b/>
                <w:bCs/>
                <w:sz w:val="18"/>
                <w:szCs w:val="18"/>
              </w:rPr>
              <w:t>3.检疫责任</w:t>
            </w:r>
            <w:r>
              <w:rPr>
                <w:rFonts w:cs="Times New Roman"/>
                <w:sz w:val="18"/>
                <w:szCs w:val="18"/>
              </w:rPr>
              <w:t>：组织现场检验检疫和室内检验检疫，确认是否带有森检对象、补充森检对象或者检疫要求中提出的危险性森林病、虫。</w:t>
            </w:r>
            <w:r>
              <w:rPr>
                <w:rFonts w:cs="Times New Roman"/>
                <w:sz w:val="18"/>
                <w:szCs w:val="18"/>
              </w:rPr>
              <w:br w:type="textWrapping"/>
            </w:r>
            <w:r>
              <w:rPr>
                <w:rFonts w:cs="Times New Roman"/>
                <w:b/>
                <w:bCs/>
                <w:sz w:val="18"/>
                <w:szCs w:val="18"/>
              </w:rPr>
              <w:t>4.决定责任</w:t>
            </w:r>
            <w:r>
              <w:rPr>
                <w:rFonts w:cs="Times New Roman"/>
                <w:sz w:val="18"/>
                <w:szCs w:val="18"/>
              </w:rPr>
              <w:t>：作出行政许可或者不予行政许可决定，法定告知（不予许可的应当书面告知理由）。</w:t>
            </w:r>
            <w:r>
              <w:rPr>
                <w:rFonts w:cs="Times New Roman"/>
                <w:sz w:val="18"/>
                <w:szCs w:val="18"/>
              </w:rPr>
              <w:br w:type="textWrapping"/>
            </w:r>
            <w:r>
              <w:rPr>
                <w:rFonts w:cs="Times New Roman"/>
                <w:b/>
                <w:bCs/>
                <w:sz w:val="18"/>
                <w:szCs w:val="18"/>
              </w:rPr>
              <w:t>5.送达责任</w:t>
            </w:r>
            <w:r>
              <w:rPr>
                <w:rFonts w:cs="Times New Roman"/>
                <w:sz w:val="18"/>
                <w:szCs w:val="18"/>
              </w:rPr>
              <w:t>：准予许可的，制发许可证书或批件，送达并信息公开。</w:t>
            </w:r>
            <w:r>
              <w:rPr>
                <w:rFonts w:cs="Times New Roman"/>
                <w:sz w:val="18"/>
                <w:szCs w:val="18"/>
              </w:rPr>
              <w:br w:type="textWrapping"/>
            </w:r>
            <w:r>
              <w:rPr>
                <w:rFonts w:cs="Times New Roman"/>
                <w:b/>
                <w:bCs/>
                <w:sz w:val="18"/>
                <w:szCs w:val="18"/>
              </w:rPr>
              <w:t>6.监管责任</w:t>
            </w:r>
            <w:r>
              <w:rPr>
                <w:rFonts w:cs="Times New Roman"/>
                <w:sz w:val="18"/>
                <w:szCs w:val="18"/>
              </w:rPr>
              <w:t>：建立实施监督检查的运行机制和管理制度，开展检查，依法采取相关处置措施。</w:t>
            </w:r>
            <w:r>
              <w:rPr>
                <w:rFonts w:cs="Times New Roman"/>
                <w:sz w:val="18"/>
                <w:szCs w:val="18"/>
              </w:rPr>
              <w:br w:type="textWrapping"/>
            </w:r>
            <w:r>
              <w:rPr>
                <w:rFonts w:cs="Times New Roman"/>
                <w:b/>
                <w:bCs/>
                <w:sz w:val="18"/>
                <w:szCs w:val="18"/>
              </w:rPr>
              <w:t>7.法律法规规章文件规定应履行的责任</w:t>
            </w:r>
            <w:r>
              <w:rPr>
                <w:rFonts w:cs="Times New Roman"/>
                <w:sz w:val="18"/>
                <w:szCs w:val="18"/>
              </w:rPr>
              <w:t>。</w:t>
            </w:r>
          </w:p>
        </w:tc>
        <w:tc>
          <w:tcPr>
            <w:tcW w:w="7670" w:type="dxa"/>
            <w:vAlign w:val="center"/>
          </w:tcPr>
          <w:p>
            <w:pPr>
              <w:spacing w:line="240" w:lineRule="exact"/>
              <w:ind w:firstLine="360"/>
              <w:rPr>
                <w:rFonts w:cs="Times New Roman"/>
                <w:sz w:val="18"/>
                <w:szCs w:val="18"/>
              </w:rPr>
            </w:pPr>
            <w:r>
              <w:rPr>
                <w:rFonts w:cs="Times New Roman"/>
                <w:sz w:val="18"/>
                <w:szCs w:val="18"/>
              </w:rPr>
              <w:t>1.【法律】《中华人民共和国行政许可法》（2003年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 xml:space="preserve">    2.【法律】《中华人民共和国行政许可法》（2003年8月27日主席令第七号公布）第三十四条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r>
              <w:rPr>
                <w:rFonts w:cs="Times New Roman"/>
                <w:sz w:val="18"/>
                <w:szCs w:val="18"/>
              </w:rPr>
              <w:br w:type="textWrapping"/>
            </w:r>
            <w:r>
              <w:rPr>
                <w:rFonts w:cs="Times New Roman"/>
                <w:sz w:val="18"/>
                <w:szCs w:val="18"/>
              </w:rPr>
              <w:t xml:space="preserve">    3.【规章】《植物检疫条例实施细则（林业部分）》（1994年7月26日林业部令第4号发布）第十二条 生产、经营应施检疫的森林植物及其产品的单位和个人，应当在生产期间或者调运之前向当地森检机构申请产地检疫。对检疫合格的，由森检员或者兼职森检员发给《产地检疫合格证》；对检疫不合格的，发给《检疫处理通知单》。第十七条 调运检疫时，森检机构应当按照《国内森林植物检疫技术规程》的规定受理报检和实施检疫，根据当地疫情普查资料、产地检疫合格证和现场检疫检验、室内检疫检验结果，确认是否带有森检对象、补充森检对象或者检疫要求中提出的危险性森林病、虫。对检疫合格的，发给《植物检疫证书》；对发现森检对象、补充森检对象或者危险性森林病、虫的，发给《检疫处理通知单》，责令托运人在指定地点进行除害处理，合格后发给《植物检疫证书》；对无法进行彻底除害处理的，应当停止调运，责令改变用途、控制使用或者就地销毁。 </w:t>
            </w:r>
          </w:p>
          <w:p>
            <w:pPr>
              <w:spacing w:line="240" w:lineRule="exact"/>
              <w:ind w:firstLine="360"/>
              <w:rPr>
                <w:rFonts w:cs="Times New Roman"/>
                <w:sz w:val="18"/>
                <w:szCs w:val="18"/>
              </w:rPr>
            </w:pPr>
            <w:r>
              <w:rPr>
                <w:rFonts w:cs="Times New Roman"/>
                <w:sz w:val="18"/>
                <w:szCs w:val="18"/>
              </w:rPr>
              <w:t>4.【法律】《中华人民共和国行政许可法》（2003年8月27日主席令第七号公布）第三十七条 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cs="Times New Roman"/>
                <w:sz w:val="18"/>
                <w:szCs w:val="18"/>
              </w:rPr>
              <w:br w:type="textWrapping"/>
            </w:r>
            <w:r>
              <w:rPr>
                <w:rFonts w:cs="Times New Roman"/>
                <w:sz w:val="18"/>
                <w:szCs w:val="18"/>
              </w:rPr>
              <w:t xml:space="preserve">    5.【法律】《中华人民共和国行政许可法》（2003年8月27日主席令第七号公布）第四十四条 行政机关作出准予行政许可的决定，应当自作出决定之日起十日内向申请人颁发、送达行政许可证件，或者加贴标签、加盖检验、检测、检疫印章。</w:t>
            </w:r>
            <w:r>
              <w:rPr>
                <w:rFonts w:cs="Times New Roman"/>
                <w:sz w:val="18"/>
                <w:szCs w:val="18"/>
              </w:rPr>
              <w:br w:type="textWrapping"/>
            </w:r>
            <w:r>
              <w:rPr>
                <w:rFonts w:cs="Times New Roman"/>
                <w:sz w:val="18"/>
                <w:szCs w:val="18"/>
              </w:rPr>
              <w:t xml:space="preserve">    6.【法律】《中华人民共和国行政许可法》（2003年8月27日主席令第七号公布）第六十一条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42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4974"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5.【法律】《中华人民共和国行政许可法》（2003年</w:t>
            </w:r>
            <w:r>
              <w:rPr>
                <w:rFonts w:hint="eastAsia" w:cs="Times New Roman"/>
                <w:sz w:val="18"/>
                <w:szCs w:val="18"/>
              </w:rPr>
              <w:t>8月27日</w:t>
            </w:r>
            <w:r>
              <w:rPr>
                <w:rFonts w:cs="Times New Roman"/>
                <w:sz w:val="18"/>
                <w:szCs w:val="18"/>
              </w:rPr>
              <w:t>主席令第七号公布）第七十三条 行政机关工作人员办理行政许可、实施监督检查，索取或者收受他人财物或者谋取其他利益，构成犯罪的，依法追究刑事责任；尚不构成犯罪的，依法给予行政处分。</w:t>
            </w:r>
          </w:p>
        </w:tc>
        <w:tc>
          <w:tcPr>
            <w:tcW w:w="613"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rPr>
          <w:rFonts w:cs="Times New Roman"/>
          <w:sz w:val="18"/>
          <w:szCs w:val="18"/>
        </w:rPr>
      </w:pPr>
    </w:p>
    <w:tbl>
      <w:tblPr>
        <w:tblStyle w:val="7"/>
        <w:tblpPr w:leftFromText="180" w:rightFromText="180" w:vertAnchor="text" w:horzAnchor="page" w:tblpX="907" w:tblpY="144"/>
        <w:tblOverlap w:val="never"/>
        <w:tblW w:w="21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1010"/>
        <w:gridCol w:w="977"/>
        <w:gridCol w:w="875"/>
        <w:gridCol w:w="1869"/>
        <w:gridCol w:w="1634"/>
        <w:gridCol w:w="6899"/>
        <w:gridCol w:w="1416"/>
        <w:gridCol w:w="5665"/>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1005" w:type="dxa"/>
            <w:vAlign w:val="center"/>
          </w:tcPr>
          <w:p>
            <w:pPr>
              <w:spacing w:line="280" w:lineRule="exact"/>
              <w:jc w:val="center"/>
              <w:rPr>
                <w:rFonts w:cs="Times New Roman"/>
                <w:sz w:val="18"/>
                <w:szCs w:val="18"/>
              </w:rPr>
            </w:pPr>
            <w:r>
              <w:rPr>
                <w:rFonts w:cs="Times New Roman"/>
                <w:sz w:val="18"/>
                <w:szCs w:val="18"/>
              </w:rPr>
              <w:t>序号</w:t>
            </w:r>
          </w:p>
        </w:tc>
        <w:tc>
          <w:tcPr>
            <w:tcW w:w="1010"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977" w:type="dxa"/>
            <w:vAlign w:val="center"/>
          </w:tcPr>
          <w:p>
            <w:pPr>
              <w:spacing w:line="280" w:lineRule="exact"/>
              <w:jc w:val="center"/>
              <w:rPr>
                <w:rFonts w:cs="Times New Roman"/>
                <w:sz w:val="18"/>
                <w:szCs w:val="18"/>
              </w:rPr>
            </w:pPr>
            <w:r>
              <w:rPr>
                <w:rFonts w:cs="Times New Roman"/>
                <w:sz w:val="18"/>
                <w:szCs w:val="18"/>
              </w:rPr>
              <w:t>项目名称</w:t>
            </w:r>
          </w:p>
        </w:tc>
        <w:tc>
          <w:tcPr>
            <w:tcW w:w="875" w:type="dxa"/>
            <w:vAlign w:val="center"/>
          </w:tcPr>
          <w:p>
            <w:pPr>
              <w:spacing w:line="280" w:lineRule="exact"/>
              <w:jc w:val="center"/>
              <w:rPr>
                <w:rFonts w:cs="Times New Roman"/>
                <w:sz w:val="18"/>
                <w:szCs w:val="18"/>
              </w:rPr>
            </w:pPr>
            <w:r>
              <w:rPr>
                <w:rFonts w:cs="Times New Roman"/>
                <w:sz w:val="18"/>
                <w:szCs w:val="18"/>
              </w:rPr>
              <w:t>子项</w:t>
            </w:r>
          </w:p>
        </w:tc>
        <w:tc>
          <w:tcPr>
            <w:tcW w:w="1869" w:type="dxa"/>
            <w:vAlign w:val="center"/>
          </w:tcPr>
          <w:p>
            <w:pPr>
              <w:spacing w:line="280" w:lineRule="exact"/>
              <w:jc w:val="center"/>
              <w:rPr>
                <w:rFonts w:cs="Times New Roman"/>
                <w:sz w:val="18"/>
                <w:szCs w:val="18"/>
              </w:rPr>
            </w:pPr>
            <w:r>
              <w:rPr>
                <w:rFonts w:cs="Times New Roman"/>
                <w:sz w:val="18"/>
                <w:szCs w:val="18"/>
              </w:rPr>
              <w:t>实施依据</w:t>
            </w:r>
          </w:p>
        </w:tc>
        <w:tc>
          <w:tcPr>
            <w:tcW w:w="1634" w:type="dxa"/>
            <w:vAlign w:val="center"/>
          </w:tcPr>
          <w:p>
            <w:pPr>
              <w:spacing w:line="280" w:lineRule="exact"/>
              <w:jc w:val="center"/>
              <w:rPr>
                <w:rFonts w:cs="Times New Roman"/>
                <w:sz w:val="18"/>
                <w:szCs w:val="18"/>
              </w:rPr>
            </w:pPr>
            <w:r>
              <w:rPr>
                <w:rFonts w:cs="Times New Roman"/>
                <w:sz w:val="18"/>
                <w:szCs w:val="18"/>
              </w:rPr>
              <w:t>责任事项</w:t>
            </w:r>
          </w:p>
        </w:tc>
        <w:tc>
          <w:tcPr>
            <w:tcW w:w="6899" w:type="dxa"/>
            <w:vAlign w:val="center"/>
          </w:tcPr>
          <w:p>
            <w:pPr>
              <w:spacing w:line="280" w:lineRule="exact"/>
              <w:jc w:val="center"/>
              <w:rPr>
                <w:rFonts w:cs="Times New Roman"/>
                <w:sz w:val="18"/>
                <w:szCs w:val="18"/>
              </w:rPr>
            </w:pPr>
            <w:r>
              <w:rPr>
                <w:rFonts w:cs="Times New Roman"/>
                <w:sz w:val="18"/>
                <w:szCs w:val="18"/>
              </w:rPr>
              <w:t>责任事项依据</w:t>
            </w:r>
          </w:p>
        </w:tc>
        <w:tc>
          <w:tcPr>
            <w:tcW w:w="1416" w:type="dxa"/>
            <w:vAlign w:val="center"/>
          </w:tcPr>
          <w:p>
            <w:pPr>
              <w:spacing w:line="280" w:lineRule="exact"/>
              <w:jc w:val="center"/>
              <w:rPr>
                <w:rFonts w:cs="Times New Roman"/>
                <w:sz w:val="18"/>
                <w:szCs w:val="18"/>
              </w:rPr>
            </w:pPr>
            <w:r>
              <w:rPr>
                <w:rFonts w:cs="Times New Roman"/>
                <w:sz w:val="18"/>
                <w:szCs w:val="18"/>
              </w:rPr>
              <w:t>追责情形</w:t>
            </w:r>
          </w:p>
        </w:tc>
        <w:tc>
          <w:tcPr>
            <w:tcW w:w="5665"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8" w:hRule="atLeast"/>
        </w:trPr>
        <w:tc>
          <w:tcPr>
            <w:tcW w:w="1005" w:type="dxa"/>
            <w:vAlign w:val="center"/>
          </w:tcPr>
          <w:p>
            <w:pPr>
              <w:spacing w:line="240" w:lineRule="exact"/>
              <w:jc w:val="center"/>
              <w:rPr>
                <w:rFonts w:cs="Times New Roman"/>
                <w:sz w:val="18"/>
                <w:szCs w:val="18"/>
              </w:rPr>
            </w:pPr>
            <w:r>
              <w:rPr>
                <w:rFonts w:cs="Times New Roman"/>
                <w:sz w:val="18"/>
                <w:szCs w:val="18"/>
              </w:rPr>
              <w:t>8</w:t>
            </w:r>
          </w:p>
        </w:tc>
        <w:tc>
          <w:tcPr>
            <w:tcW w:w="1010" w:type="dxa"/>
            <w:vAlign w:val="center"/>
          </w:tcPr>
          <w:p>
            <w:pPr>
              <w:spacing w:line="240" w:lineRule="exact"/>
              <w:rPr>
                <w:rFonts w:cs="Times New Roman"/>
                <w:sz w:val="18"/>
                <w:szCs w:val="18"/>
              </w:rPr>
            </w:pPr>
            <w:r>
              <w:rPr>
                <w:rFonts w:cs="Times New Roman"/>
                <w:sz w:val="18"/>
                <w:szCs w:val="18"/>
              </w:rPr>
              <w:t>行政许可</w:t>
            </w:r>
          </w:p>
        </w:tc>
        <w:tc>
          <w:tcPr>
            <w:tcW w:w="977" w:type="dxa"/>
            <w:vAlign w:val="center"/>
          </w:tcPr>
          <w:p>
            <w:pPr>
              <w:spacing w:line="240" w:lineRule="exact"/>
              <w:rPr>
                <w:rFonts w:cs="Times New Roman"/>
                <w:sz w:val="18"/>
                <w:szCs w:val="18"/>
              </w:rPr>
            </w:pPr>
            <w:r>
              <w:rPr>
                <w:rFonts w:cs="Times New Roman"/>
                <w:sz w:val="18"/>
                <w:szCs w:val="18"/>
              </w:rPr>
              <w:t>林木种子生产经营许可</w:t>
            </w:r>
          </w:p>
        </w:tc>
        <w:tc>
          <w:tcPr>
            <w:tcW w:w="875" w:type="dxa"/>
            <w:vAlign w:val="center"/>
          </w:tcPr>
          <w:p>
            <w:pPr>
              <w:spacing w:line="240" w:lineRule="exact"/>
              <w:rPr>
                <w:rFonts w:cs="Times New Roman"/>
                <w:sz w:val="18"/>
                <w:szCs w:val="18"/>
              </w:rPr>
            </w:pPr>
            <w:r>
              <w:rPr>
                <w:rFonts w:cs="Times New Roman"/>
                <w:sz w:val="18"/>
                <w:szCs w:val="18"/>
              </w:rPr>
              <w:t>　</w:t>
            </w:r>
          </w:p>
        </w:tc>
        <w:tc>
          <w:tcPr>
            <w:tcW w:w="1869" w:type="dxa"/>
            <w:vAlign w:val="center"/>
          </w:tcPr>
          <w:p>
            <w:pPr>
              <w:spacing w:line="240" w:lineRule="exact"/>
              <w:rPr>
                <w:rFonts w:cs="Times New Roman"/>
                <w:sz w:val="18"/>
                <w:szCs w:val="18"/>
              </w:rPr>
            </w:pPr>
            <w:r>
              <w:rPr>
                <w:rFonts w:cs="Times New Roman"/>
                <w:sz w:val="18"/>
                <w:szCs w:val="18"/>
              </w:rPr>
              <w:t xml:space="preserve">    【法律】《中华人民共和国种子法》（2000年7月8日主席令第三十四号，2015年11月4日修改）  第三十一条 从事种子进出口业务的种子生产经营许可证，由省、自治区、直辖市人民政府农业、林业主管部门审核，国务院农业、林业主管部门核发。从事主要农作物杂交种子及其亲本种子、林木良种种子的生产经营以及实行选育生产经营相结合，符合国务院农业、林业主管部门规定条件的种子企业的种子生产经营许可证，由生产经营者所在地县级人民政府农业、林业主管部门审核，省、自治区、直辖市人民政府农业、林业主管部门核发。前两款规定以外的其他种子的生产经营许可证，由生产经营者所在地县级以上地方人民政府农业、林业主管部门核发。只从事非主要农作物种子和非主要林木种子生产的，不需要办理种子生产经营许可证。</w:t>
            </w:r>
          </w:p>
        </w:tc>
        <w:tc>
          <w:tcPr>
            <w:tcW w:w="1634" w:type="dxa"/>
            <w:vAlign w:val="center"/>
          </w:tcPr>
          <w:p>
            <w:pPr>
              <w:spacing w:after="240" w:line="240" w:lineRule="exact"/>
              <w:rPr>
                <w:rFonts w:cs="Times New Roman"/>
                <w:sz w:val="18"/>
                <w:szCs w:val="18"/>
              </w:rPr>
            </w:pPr>
            <w:r>
              <w:rPr>
                <w:rFonts w:cs="Times New Roman"/>
                <w:b/>
                <w:bCs/>
                <w:sz w:val="18"/>
                <w:szCs w:val="18"/>
              </w:rPr>
              <w:t>1.受理责任</w:t>
            </w:r>
            <w:r>
              <w:rPr>
                <w:rFonts w:cs="Times New Roman"/>
                <w:sz w:val="18"/>
                <w:szCs w:val="18"/>
              </w:rPr>
              <w:t>：公示依法应当提交的材料；一次性告知补正材料；依法受理或不予受理（不予受理应当告知理由）。</w:t>
            </w:r>
            <w:r>
              <w:rPr>
                <w:rFonts w:cs="Times New Roman"/>
                <w:sz w:val="18"/>
                <w:szCs w:val="18"/>
              </w:rPr>
              <w:br w:type="textWrapping"/>
            </w:r>
            <w:r>
              <w:rPr>
                <w:rFonts w:cs="Times New Roman"/>
                <w:b/>
                <w:bCs/>
                <w:sz w:val="18"/>
                <w:szCs w:val="18"/>
              </w:rPr>
              <w:t>2.审查责任</w:t>
            </w:r>
            <w:r>
              <w:rPr>
                <w:rFonts w:cs="Times New Roman"/>
                <w:sz w:val="18"/>
                <w:szCs w:val="18"/>
              </w:rPr>
              <w:t>：材料审核并提出审查意见。</w:t>
            </w:r>
            <w:r>
              <w:rPr>
                <w:rFonts w:cs="Times New Roman"/>
                <w:sz w:val="18"/>
                <w:szCs w:val="18"/>
              </w:rPr>
              <w:br w:type="textWrapping"/>
            </w:r>
            <w:r>
              <w:rPr>
                <w:rFonts w:cs="Times New Roman"/>
                <w:b/>
                <w:bCs/>
                <w:sz w:val="18"/>
                <w:szCs w:val="18"/>
              </w:rPr>
              <w:t xml:space="preserve"> 3.检验检测责任</w:t>
            </w:r>
            <w:r>
              <w:rPr>
                <w:rFonts w:cs="Times New Roman"/>
                <w:sz w:val="18"/>
                <w:szCs w:val="18"/>
              </w:rPr>
              <w:t>：负责种子生产经营技术审查和现场检查。</w:t>
            </w:r>
            <w:r>
              <w:rPr>
                <w:rFonts w:cs="Times New Roman"/>
                <w:sz w:val="18"/>
                <w:szCs w:val="18"/>
              </w:rPr>
              <w:br w:type="textWrapping"/>
            </w:r>
            <w:r>
              <w:rPr>
                <w:rFonts w:cs="Times New Roman"/>
                <w:b/>
                <w:bCs/>
                <w:sz w:val="18"/>
                <w:szCs w:val="18"/>
              </w:rPr>
              <w:t>4.决定责任</w:t>
            </w:r>
            <w:r>
              <w:rPr>
                <w:rFonts w:cs="Times New Roman"/>
                <w:sz w:val="18"/>
                <w:szCs w:val="18"/>
              </w:rPr>
              <w:t>：作出决定（不予行政许可的应当告知理由）；按时办结。</w:t>
            </w:r>
            <w:r>
              <w:rPr>
                <w:rFonts w:cs="Times New Roman"/>
                <w:sz w:val="18"/>
                <w:szCs w:val="18"/>
              </w:rPr>
              <w:br w:type="textWrapping"/>
            </w:r>
            <w:r>
              <w:rPr>
                <w:rFonts w:cs="Times New Roman"/>
                <w:b/>
                <w:bCs/>
                <w:sz w:val="18"/>
                <w:szCs w:val="18"/>
              </w:rPr>
              <w:t xml:space="preserve"> 5.送达责任</w:t>
            </w:r>
            <w:r>
              <w:rPr>
                <w:rFonts w:cs="Times New Roman"/>
                <w:sz w:val="18"/>
                <w:szCs w:val="18"/>
              </w:rPr>
              <w:t>：制发送达林木种子生产经营许可证；信息公开。</w:t>
            </w:r>
            <w:r>
              <w:rPr>
                <w:rFonts w:cs="Times New Roman"/>
                <w:sz w:val="18"/>
                <w:szCs w:val="18"/>
              </w:rPr>
              <w:br w:type="textWrapping"/>
            </w:r>
            <w:r>
              <w:rPr>
                <w:rFonts w:cs="Times New Roman"/>
                <w:b/>
                <w:bCs/>
                <w:sz w:val="18"/>
                <w:szCs w:val="18"/>
              </w:rPr>
              <w:t>6.监管责任</w:t>
            </w:r>
            <w:r>
              <w:rPr>
                <w:rFonts w:cs="Times New Roman"/>
                <w:sz w:val="18"/>
                <w:szCs w:val="18"/>
              </w:rPr>
              <w:t>：加强林木种子生产经营许可证使用情况的监督检查；每年3月底前向国家林业局上报林木种子生产经营许可证情况。</w:t>
            </w:r>
            <w:r>
              <w:rPr>
                <w:rFonts w:cs="Times New Roman"/>
                <w:sz w:val="18"/>
                <w:szCs w:val="18"/>
              </w:rPr>
              <w:br w:type="textWrapping"/>
            </w:r>
            <w:r>
              <w:rPr>
                <w:rFonts w:cs="Times New Roman"/>
                <w:b/>
                <w:bCs/>
                <w:sz w:val="18"/>
                <w:szCs w:val="18"/>
              </w:rPr>
              <w:t>7.法律法规规章文件规定应履行的责任。</w:t>
            </w:r>
          </w:p>
        </w:tc>
        <w:tc>
          <w:tcPr>
            <w:tcW w:w="6899" w:type="dxa"/>
            <w:vAlign w:val="center"/>
          </w:tcPr>
          <w:p>
            <w:pPr>
              <w:spacing w:line="240" w:lineRule="exact"/>
              <w:ind w:firstLine="450" w:firstLineChars="250"/>
              <w:rPr>
                <w:rFonts w:cs="Times New Roman"/>
                <w:sz w:val="18"/>
                <w:szCs w:val="18"/>
              </w:rPr>
            </w:pPr>
            <w:r>
              <w:rPr>
                <w:rFonts w:cs="Times New Roman"/>
                <w:sz w:val="18"/>
                <w:szCs w:val="18"/>
              </w:rPr>
              <w:t>1.【法律】《中华人民共和国行政许可法》（2003年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2.【规章】《林木种子生产经营许可证管理办法》（2016年国家林业局令第40号）第十二条  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核发林木种子生产经营许可证需要组织检验检测的，应当自受理之日起5个工作日内书面告知申请人。检验检测所需时间不得超过60日。检验检测所需时间不计入核发林木种子生产经营许可证工作日之内。</w:t>
            </w:r>
            <w:r>
              <w:rPr>
                <w:rFonts w:cs="Times New Roman"/>
                <w:sz w:val="18"/>
                <w:szCs w:val="18"/>
              </w:rPr>
              <w:br w:type="textWrapping"/>
            </w:r>
            <w:r>
              <w:rPr>
                <w:rFonts w:cs="Times New Roman"/>
                <w:sz w:val="18"/>
                <w:szCs w:val="18"/>
              </w:rPr>
              <w:t xml:space="preserve"> 3.同2。</w:t>
            </w:r>
            <w:r>
              <w:rPr>
                <w:rFonts w:cs="Times New Roman"/>
                <w:sz w:val="18"/>
                <w:szCs w:val="18"/>
              </w:rPr>
              <w:br w:type="textWrapping"/>
            </w:r>
            <w:r>
              <w:rPr>
                <w:rFonts w:cs="Times New Roman"/>
                <w:sz w:val="18"/>
                <w:szCs w:val="18"/>
              </w:rPr>
              <w:t xml:space="preserve"> 4-1.【规章】《林木种子生产经营许可证管理办法》（2016年国家林业局令第40号）第十三条  对申请材料齐全、符合第十条以及第十一条规定条件的，林业主管部门应当核发林木种子生产经营许可证。对不符合第十条、第十一条规定条件的，林业主管部门应当作出不予核发林木种子生产经营许可证的行政许可决定，并告知不予许可的理由。 </w:t>
            </w:r>
            <w:r>
              <w:rPr>
                <w:rFonts w:cs="Times New Roman"/>
                <w:sz w:val="18"/>
                <w:szCs w:val="18"/>
              </w:rPr>
              <w:br w:type="textWrapping"/>
            </w:r>
            <w:r>
              <w:rPr>
                <w:rFonts w:cs="Times New Roman"/>
                <w:sz w:val="18"/>
                <w:szCs w:val="18"/>
              </w:rPr>
              <w:t>4-2.【法律】《中华人民共和国行政许可法》（2003年8月27日主席令第七号公布）第四十条行政机关作出的准予行政许可决定，应当予以公开，公众有权查阅。</w:t>
            </w:r>
          </w:p>
          <w:p>
            <w:pPr>
              <w:spacing w:line="240" w:lineRule="exact"/>
              <w:ind w:firstLine="450" w:firstLineChars="250"/>
              <w:rPr>
                <w:rFonts w:cs="Times New Roman"/>
                <w:sz w:val="18"/>
                <w:szCs w:val="18"/>
              </w:rPr>
            </w:pPr>
            <w:r>
              <w:rPr>
                <w:rFonts w:cs="Times New Roman"/>
                <w:sz w:val="18"/>
                <w:szCs w:val="18"/>
              </w:rPr>
              <w:t>5.【法律】《中华人民共和国行政许可法》（2003年8月27日主席令第七号公布）第四十四条 行政机关作出准予行政许可的决定，应当自作出决定之日起十日内向申请人颁发、送达行政许可证件，或者加贴标签、加盖检验、检测、检疫印章。</w:t>
            </w:r>
            <w:r>
              <w:rPr>
                <w:rFonts w:cs="Times New Roman"/>
                <w:sz w:val="18"/>
                <w:szCs w:val="18"/>
              </w:rPr>
              <w:br w:type="textWrapping"/>
            </w:r>
            <w:r>
              <w:rPr>
                <w:rFonts w:cs="Times New Roman"/>
                <w:sz w:val="18"/>
                <w:szCs w:val="18"/>
              </w:rPr>
              <w:t xml:space="preserve">    6-1.【规章】《林木种子生产经营许可证管理办法》（2016年国家林业局令第40号）第十九条  县级以上人民政府林业主管部门应当按照公开、公平、公正的原则，开展对生产经营者林木种子生产经营活动的监督检查，并将监督检查情况立卷、归档，实行动态监督管理。监督检查的主要内容包括：（一）开展林木种子生产经营活动情况。（二）林木种子生产经营档案制度执行情况。（三）生产经营的林木种子质量情况。对监督检查中发现的问题，应当按照《中华人民共和国种子法》等规定予以处理。</w:t>
            </w:r>
            <w:r>
              <w:rPr>
                <w:rFonts w:cs="Times New Roman"/>
                <w:sz w:val="18"/>
                <w:szCs w:val="18"/>
              </w:rPr>
              <w:br w:type="textWrapping"/>
            </w:r>
            <w:r>
              <w:rPr>
                <w:rFonts w:cs="Times New Roman"/>
                <w:sz w:val="18"/>
                <w:szCs w:val="18"/>
              </w:rPr>
              <w:t xml:space="preserve">    6-2.【规章】《林木种子生产经营许可证管理办法》（2016年国家林业局令第40号）第二十条  县级以上人民政府林业主管部门应当建立林木种子生产经营许可证管理档案，具体内容包括：申请材料、审核、核发材料及有关法律、法规规定的文件等。林木种子生产经营许可证管理档案应当从林木种子生产经营许可证被注销或者自动失效之日起至少保留5年。省、自治区、直辖市人民政府林业主管部门应当于每年3月底前将上一年度林木种子生产经营许可证管理情况上报国家林业局。</w:t>
            </w:r>
          </w:p>
        </w:tc>
        <w:tc>
          <w:tcPr>
            <w:tcW w:w="1416"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5665"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5.【法律】《中华人民共和国行政许可法》（2003年8月27日主席令第七号公布）第七十三条 行政机关工作人员办理行政许可、实施监督检查，索取或者收受他人财物或者谋取其他利益，构成犯罪的，依法追究刑事责任；尚不构成犯罪的，依法给予行政处分。</w:t>
            </w:r>
          </w:p>
        </w:tc>
        <w:tc>
          <w:tcPr>
            <w:tcW w:w="610" w:type="dxa"/>
            <w:vAlign w:val="center"/>
          </w:tcPr>
          <w:p>
            <w:pPr>
              <w:spacing w:line="240" w:lineRule="exact"/>
              <w:jc w:val="center"/>
              <w:rPr>
                <w:rFonts w:cs="Times New Roman"/>
                <w:sz w:val="18"/>
                <w:szCs w:val="18"/>
              </w:rPr>
            </w:pPr>
          </w:p>
        </w:tc>
      </w:tr>
    </w:tbl>
    <w:p>
      <w:pPr>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1075" w:tblpY="245"/>
        <w:tblOverlap w:val="never"/>
        <w:tblW w:w="21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994"/>
        <w:gridCol w:w="961"/>
        <w:gridCol w:w="860"/>
        <w:gridCol w:w="1870"/>
        <w:gridCol w:w="1669"/>
        <w:gridCol w:w="6802"/>
        <w:gridCol w:w="1415"/>
        <w:gridCol w:w="5944"/>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855" w:type="dxa"/>
            <w:vAlign w:val="center"/>
          </w:tcPr>
          <w:p>
            <w:pPr>
              <w:spacing w:line="280" w:lineRule="exact"/>
              <w:jc w:val="center"/>
              <w:rPr>
                <w:rFonts w:cs="Times New Roman"/>
                <w:sz w:val="18"/>
                <w:szCs w:val="18"/>
              </w:rPr>
            </w:pPr>
            <w:r>
              <w:rPr>
                <w:rFonts w:cs="Times New Roman"/>
                <w:sz w:val="18"/>
                <w:szCs w:val="18"/>
              </w:rPr>
              <w:t>序号</w:t>
            </w:r>
          </w:p>
        </w:tc>
        <w:tc>
          <w:tcPr>
            <w:tcW w:w="994"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961" w:type="dxa"/>
            <w:vAlign w:val="center"/>
          </w:tcPr>
          <w:p>
            <w:pPr>
              <w:spacing w:line="280" w:lineRule="exact"/>
              <w:jc w:val="center"/>
              <w:rPr>
                <w:rFonts w:cs="Times New Roman"/>
                <w:sz w:val="18"/>
                <w:szCs w:val="18"/>
              </w:rPr>
            </w:pPr>
            <w:r>
              <w:rPr>
                <w:rFonts w:cs="Times New Roman"/>
                <w:sz w:val="18"/>
                <w:szCs w:val="18"/>
              </w:rPr>
              <w:t>项目名称</w:t>
            </w:r>
          </w:p>
        </w:tc>
        <w:tc>
          <w:tcPr>
            <w:tcW w:w="860" w:type="dxa"/>
            <w:vAlign w:val="center"/>
          </w:tcPr>
          <w:p>
            <w:pPr>
              <w:spacing w:line="280" w:lineRule="exact"/>
              <w:jc w:val="center"/>
              <w:rPr>
                <w:rFonts w:cs="Times New Roman"/>
                <w:sz w:val="18"/>
                <w:szCs w:val="18"/>
              </w:rPr>
            </w:pPr>
            <w:r>
              <w:rPr>
                <w:rFonts w:cs="Times New Roman"/>
                <w:sz w:val="18"/>
                <w:szCs w:val="18"/>
              </w:rPr>
              <w:t>子项</w:t>
            </w:r>
          </w:p>
        </w:tc>
        <w:tc>
          <w:tcPr>
            <w:tcW w:w="1870" w:type="dxa"/>
            <w:vAlign w:val="center"/>
          </w:tcPr>
          <w:p>
            <w:pPr>
              <w:spacing w:line="280" w:lineRule="exact"/>
              <w:jc w:val="center"/>
              <w:rPr>
                <w:rFonts w:cs="Times New Roman"/>
                <w:sz w:val="18"/>
                <w:szCs w:val="18"/>
              </w:rPr>
            </w:pPr>
            <w:r>
              <w:rPr>
                <w:rFonts w:cs="Times New Roman"/>
                <w:sz w:val="18"/>
                <w:szCs w:val="18"/>
              </w:rPr>
              <w:t>实施依据</w:t>
            </w:r>
          </w:p>
        </w:tc>
        <w:tc>
          <w:tcPr>
            <w:tcW w:w="1669" w:type="dxa"/>
            <w:vAlign w:val="center"/>
          </w:tcPr>
          <w:p>
            <w:pPr>
              <w:spacing w:line="280" w:lineRule="exact"/>
              <w:jc w:val="center"/>
              <w:rPr>
                <w:rFonts w:cs="Times New Roman"/>
                <w:sz w:val="18"/>
                <w:szCs w:val="18"/>
              </w:rPr>
            </w:pPr>
            <w:r>
              <w:rPr>
                <w:rFonts w:cs="Times New Roman"/>
                <w:sz w:val="18"/>
                <w:szCs w:val="18"/>
              </w:rPr>
              <w:t>责任事项</w:t>
            </w:r>
          </w:p>
        </w:tc>
        <w:tc>
          <w:tcPr>
            <w:tcW w:w="6802" w:type="dxa"/>
            <w:vAlign w:val="center"/>
          </w:tcPr>
          <w:p>
            <w:pPr>
              <w:spacing w:line="280" w:lineRule="exact"/>
              <w:jc w:val="center"/>
              <w:rPr>
                <w:rFonts w:cs="Times New Roman"/>
                <w:sz w:val="18"/>
                <w:szCs w:val="18"/>
              </w:rPr>
            </w:pPr>
            <w:r>
              <w:rPr>
                <w:rFonts w:cs="Times New Roman"/>
                <w:sz w:val="18"/>
                <w:szCs w:val="18"/>
              </w:rPr>
              <w:t>责任事项依据</w:t>
            </w:r>
          </w:p>
        </w:tc>
        <w:tc>
          <w:tcPr>
            <w:tcW w:w="1415" w:type="dxa"/>
            <w:vAlign w:val="center"/>
          </w:tcPr>
          <w:p>
            <w:pPr>
              <w:spacing w:line="280" w:lineRule="exact"/>
              <w:jc w:val="center"/>
              <w:rPr>
                <w:rFonts w:cs="Times New Roman"/>
                <w:sz w:val="18"/>
                <w:szCs w:val="18"/>
              </w:rPr>
            </w:pPr>
            <w:r>
              <w:rPr>
                <w:rFonts w:cs="Times New Roman"/>
                <w:sz w:val="18"/>
                <w:szCs w:val="18"/>
              </w:rPr>
              <w:t>追责情形</w:t>
            </w:r>
          </w:p>
        </w:tc>
        <w:tc>
          <w:tcPr>
            <w:tcW w:w="5944"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4" w:hRule="atLeast"/>
        </w:trPr>
        <w:tc>
          <w:tcPr>
            <w:tcW w:w="855" w:type="dxa"/>
            <w:vAlign w:val="center"/>
          </w:tcPr>
          <w:p>
            <w:pPr>
              <w:spacing w:line="240" w:lineRule="exact"/>
              <w:jc w:val="center"/>
              <w:rPr>
                <w:rFonts w:cs="Times New Roman"/>
                <w:sz w:val="18"/>
                <w:szCs w:val="18"/>
              </w:rPr>
            </w:pPr>
            <w:r>
              <w:rPr>
                <w:rFonts w:cs="Times New Roman"/>
                <w:sz w:val="18"/>
                <w:szCs w:val="18"/>
              </w:rPr>
              <w:t>9</w:t>
            </w:r>
          </w:p>
        </w:tc>
        <w:tc>
          <w:tcPr>
            <w:tcW w:w="994" w:type="dxa"/>
            <w:vAlign w:val="center"/>
          </w:tcPr>
          <w:p>
            <w:pPr>
              <w:spacing w:line="240" w:lineRule="exact"/>
              <w:rPr>
                <w:rFonts w:cs="Times New Roman"/>
                <w:sz w:val="18"/>
                <w:szCs w:val="18"/>
              </w:rPr>
            </w:pPr>
            <w:r>
              <w:rPr>
                <w:rFonts w:cs="Times New Roman"/>
                <w:sz w:val="18"/>
                <w:szCs w:val="18"/>
              </w:rPr>
              <w:t>行政许可</w:t>
            </w:r>
          </w:p>
        </w:tc>
        <w:tc>
          <w:tcPr>
            <w:tcW w:w="961" w:type="dxa"/>
            <w:vAlign w:val="center"/>
          </w:tcPr>
          <w:p>
            <w:pPr>
              <w:spacing w:line="240" w:lineRule="exact"/>
              <w:rPr>
                <w:rFonts w:cs="Times New Roman"/>
                <w:sz w:val="18"/>
                <w:szCs w:val="18"/>
              </w:rPr>
            </w:pPr>
            <w:r>
              <w:rPr>
                <w:rFonts w:cs="Times New Roman"/>
                <w:sz w:val="18"/>
                <w:szCs w:val="18"/>
              </w:rPr>
              <w:t>从事营利性治沙活动许可</w:t>
            </w:r>
          </w:p>
        </w:tc>
        <w:tc>
          <w:tcPr>
            <w:tcW w:w="860" w:type="dxa"/>
            <w:vAlign w:val="center"/>
          </w:tcPr>
          <w:p>
            <w:pPr>
              <w:spacing w:line="240" w:lineRule="exact"/>
              <w:rPr>
                <w:rFonts w:cs="Times New Roman"/>
                <w:sz w:val="18"/>
                <w:szCs w:val="18"/>
              </w:rPr>
            </w:pPr>
            <w:r>
              <w:rPr>
                <w:rFonts w:cs="Times New Roman"/>
                <w:sz w:val="18"/>
                <w:szCs w:val="18"/>
              </w:rPr>
              <w:t>　</w:t>
            </w:r>
          </w:p>
        </w:tc>
        <w:tc>
          <w:tcPr>
            <w:tcW w:w="1870" w:type="dxa"/>
            <w:vAlign w:val="center"/>
          </w:tcPr>
          <w:p>
            <w:pPr>
              <w:spacing w:line="240" w:lineRule="exact"/>
              <w:rPr>
                <w:rFonts w:cs="Times New Roman"/>
                <w:sz w:val="18"/>
                <w:szCs w:val="18"/>
              </w:rPr>
            </w:pPr>
            <w:r>
              <w:rPr>
                <w:rFonts w:cs="Times New Roman"/>
                <w:sz w:val="18"/>
                <w:szCs w:val="18"/>
              </w:rPr>
              <w:t xml:space="preserve">   【法律】《中华人民共和国防沙治沙法》（2001年8月31日主席令第五十五号）第二十六条不具有土地所有权或者使用权的单位和个人从事营利性治沙活动的，应当先与土地所有权人或者使用权人签订协议，依法取得土地使用权。    在治理活动开始之前，从事营利性治沙活动的单位和个人应当向治理项目所在地的县级以上地方人民政府林业行政主管部门或者县级以上地方人民政府指定的其他行政主管部门提出治理申请，并附具下列文件：（一）被治理土地权属的合法证明文件和治理协议；（二）符合防沙治沙规划的治理方案；（三）治理所需的资金证明。</w:t>
            </w:r>
          </w:p>
        </w:tc>
        <w:tc>
          <w:tcPr>
            <w:tcW w:w="1669" w:type="dxa"/>
            <w:vAlign w:val="center"/>
          </w:tcPr>
          <w:p>
            <w:pPr>
              <w:spacing w:line="240" w:lineRule="exact"/>
              <w:rPr>
                <w:rFonts w:cs="Times New Roman"/>
                <w:sz w:val="18"/>
                <w:szCs w:val="18"/>
              </w:rPr>
            </w:pPr>
            <w:r>
              <w:rPr>
                <w:rFonts w:cs="Times New Roman"/>
                <w:b/>
                <w:bCs/>
                <w:sz w:val="18"/>
                <w:szCs w:val="18"/>
              </w:rPr>
              <w:t>1.受理责任</w:t>
            </w:r>
            <w:r>
              <w:rPr>
                <w:rFonts w:cs="Times New Roman"/>
                <w:sz w:val="18"/>
                <w:szCs w:val="18"/>
              </w:rPr>
              <w:t>：公示依法应当提交的材料，一次性告知补正材料；依法受理或不予受理（不予受理应当告知理由）；</w:t>
            </w:r>
            <w:r>
              <w:rPr>
                <w:rFonts w:cs="Times New Roman"/>
                <w:sz w:val="18"/>
                <w:szCs w:val="18"/>
              </w:rPr>
              <w:br w:type="textWrapping"/>
            </w:r>
            <w:r>
              <w:rPr>
                <w:rFonts w:cs="Times New Roman"/>
                <w:b/>
                <w:bCs/>
                <w:sz w:val="18"/>
                <w:szCs w:val="18"/>
              </w:rPr>
              <w:t>2.组织论证责任</w:t>
            </w:r>
            <w:r>
              <w:rPr>
                <w:rFonts w:cs="Times New Roman"/>
                <w:sz w:val="18"/>
                <w:szCs w:val="18"/>
              </w:rPr>
              <w:t>：组织专家进行技术论证。</w:t>
            </w:r>
            <w:r>
              <w:rPr>
                <w:rFonts w:cs="Times New Roman"/>
                <w:sz w:val="18"/>
                <w:szCs w:val="18"/>
              </w:rPr>
              <w:br w:type="textWrapping"/>
            </w:r>
            <w:r>
              <w:rPr>
                <w:rFonts w:cs="Times New Roman"/>
                <w:b/>
                <w:bCs/>
                <w:sz w:val="18"/>
                <w:szCs w:val="18"/>
              </w:rPr>
              <w:t>3.核查调查责任</w:t>
            </w:r>
            <w:r>
              <w:rPr>
                <w:rFonts w:cs="Times New Roman"/>
                <w:sz w:val="18"/>
                <w:szCs w:val="18"/>
              </w:rPr>
              <w:t>：根据需要选派2人以上进行实地核查和调查。</w:t>
            </w:r>
            <w:r>
              <w:rPr>
                <w:rFonts w:cs="Times New Roman"/>
                <w:sz w:val="18"/>
                <w:szCs w:val="18"/>
              </w:rPr>
              <w:br w:type="textWrapping"/>
            </w:r>
            <w:r>
              <w:rPr>
                <w:rFonts w:cs="Times New Roman"/>
                <w:b/>
                <w:bCs/>
                <w:sz w:val="18"/>
                <w:szCs w:val="18"/>
              </w:rPr>
              <w:t>4.决定责任</w:t>
            </w:r>
            <w:r>
              <w:rPr>
                <w:rFonts w:cs="Times New Roman"/>
                <w:sz w:val="18"/>
                <w:szCs w:val="18"/>
              </w:rPr>
              <w:t>：在受理之日起30个工作日内作出行政许可或不予许可的决定。许可的，予以公示；不许可的，不予公示。</w:t>
            </w:r>
            <w:r>
              <w:rPr>
                <w:rFonts w:cs="Times New Roman"/>
                <w:sz w:val="18"/>
                <w:szCs w:val="18"/>
              </w:rPr>
              <w:br w:type="textWrapping"/>
            </w:r>
            <w:r>
              <w:rPr>
                <w:rFonts w:cs="Times New Roman"/>
                <w:b/>
                <w:bCs/>
                <w:sz w:val="18"/>
                <w:szCs w:val="18"/>
              </w:rPr>
              <w:t>5.送达责任</w:t>
            </w:r>
            <w:r>
              <w:rPr>
                <w:rFonts w:cs="Times New Roman"/>
                <w:sz w:val="18"/>
                <w:szCs w:val="18"/>
              </w:rPr>
              <w:t>：书面通知；信息公开。</w:t>
            </w:r>
            <w:r>
              <w:rPr>
                <w:rFonts w:cs="Times New Roman"/>
                <w:sz w:val="18"/>
                <w:szCs w:val="18"/>
              </w:rPr>
              <w:br w:type="textWrapping"/>
            </w:r>
            <w:r>
              <w:rPr>
                <w:rFonts w:cs="Times New Roman"/>
                <w:b/>
                <w:bCs/>
                <w:sz w:val="18"/>
                <w:szCs w:val="18"/>
              </w:rPr>
              <w:t>6.监管责任</w:t>
            </w:r>
            <w:r>
              <w:rPr>
                <w:rFonts w:cs="Times New Roman"/>
                <w:sz w:val="18"/>
                <w:szCs w:val="18"/>
              </w:rPr>
              <w:t>：指导、组织验收</w:t>
            </w:r>
            <w:r>
              <w:rPr>
                <w:rFonts w:cs="Times New Roman"/>
                <w:sz w:val="18"/>
                <w:szCs w:val="18"/>
              </w:rPr>
              <w:br w:type="textWrapping"/>
            </w:r>
            <w:r>
              <w:rPr>
                <w:rFonts w:cs="Times New Roman"/>
                <w:b/>
                <w:bCs/>
                <w:sz w:val="18"/>
                <w:szCs w:val="18"/>
              </w:rPr>
              <w:t>7.其他法律法规规章文件规定应履行的责任</w:t>
            </w:r>
            <w:r>
              <w:rPr>
                <w:rFonts w:cs="Times New Roman"/>
                <w:sz w:val="18"/>
                <w:szCs w:val="18"/>
              </w:rPr>
              <w:t>。</w:t>
            </w:r>
          </w:p>
        </w:tc>
        <w:tc>
          <w:tcPr>
            <w:tcW w:w="6802" w:type="dxa"/>
            <w:vAlign w:val="center"/>
          </w:tcPr>
          <w:p>
            <w:pPr>
              <w:spacing w:line="240" w:lineRule="exact"/>
              <w:ind w:firstLine="360"/>
              <w:rPr>
                <w:rFonts w:cs="Times New Roman"/>
                <w:sz w:val="18"/>
                <w:szCs w:val="18"/>
              </w:rPr>
            </w:pPr>
            <w:r>
              <w:rPr>
                <w:rFonts w:cs="Times New Roman"/>
                <w:sz w:val="18"/>
                <w:szCs w:val="18"/>
              </w:rPr>
              <w:t>1</w:t>
            </w:r>
            <w:r>
              <w:rPr>
                <w:rFonts w:hint="eastAsia" w:cs="Times New Roman"/>
                <w:sz w:val="18"/>
                <w:szCs w:val="18"/>
              </w:rPr>
              <w:t>-1</w:t>
            </w:r>
            <w:r>
              <w:rPr>
                <w:rFonts w:cs="Times New Roman"/>
                <w:sz w:val="18"/>
                <w:szCs w:val="18"/>
              </w:rPr>
              <w:t>.【法律】《中华人民共和国行政许可法》（2003年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1</w:t>
            </w:r>
            <w:r>
              <w:rPr>
                <w:rFonts w:hint="eastAsia" w:cs="Times New Roman"/>
                <w:sz w:val="18"/>
                <w:szCs w:val="18"/>
              </w:rPr>
              <w:t>-2</w:t>
            </w:r>
            <w:r>
              <w:rPr>
                <w:rFonts w:cs="Times New Roman"/>
                <w:sz w:val="18"/>
                <w:szCs w:val="18"/>
              </w:rPr>
              <w:t xml:space="preserve">.【规章】《营利性治沙管理办法》（2004年7月1日国家林业局令第11号公布）第八条 林业行政主管部门应当在收到治理申请和有关文件后7个工作日内,对申请材料进行初步审查;治理申请和有关文件符合本办法第六条和第七条规定的,林业行政主管部门应当予以受理;不符合规定的,不予受理,并书面通知申请人,说明理由或者要求补充有关材料。 </w:t>
            </w:r>
            <w:r>
              <w:rPr>
                <w:rFonts w:cs="Times New Roman"/>
                <w:sz w:val="18"/>
                <w:szCs w:val="18"/>
              </w:rPr>
              <w:br w:type="textWrapping"/>
            </w:r>
            <w:r>
              <w:rPr>
                <w:rFonts w:cs="Times New Roman"/>
                <w:sz w:val="18"/>
                <w:szCs w:val="18"/>
              </w:rPr>
              <w:t xml:space="preserve">    2.【规章】《营利性治沙管理办法》（2004年7月1日国家林业局令第11号公布）第九条 林业行政主管部门对决定受理的申请,应当组织有关专家对治理方案进行技术论证,并可以根据实际工作需要,组织工作人员对提出营利性治沙活动申请涉及的沙化土地以及提交的有关文件内容进行实地核实和调查。 核实和调查的工作人员应当不少于2人。</w:t>
            </w:r>
            <w:r>
              <w:rPr>
                <w:rFonts w:cs="Times New Roman"/>
                <w:sz w:val="18"/>
                <w:szCs w:val="18"/>
              </w:rPr>
              <w:br w:type="textWrapping"/>
            </w:r>
            <w:r>
              <w:rPr>
                <w:rFonts w:cs="Times New Roman"/>
                <w:sz w:val="18"/>
                <w:szCs w:val="18"/>
              </w:rPr>
              <w:t xml:space="preserve">    3.同2。 </w:t>
            </w:r>
          </w:p>
          <w:p>
            <w:pPr>
              <w:spacing w:line="240" w:lineRule="exact"/>
              <w:ind w:firstLine="360"/>
              <w:rPr>
                <w:rFonts w:cs="Times New Roman"/>
                <w:sz w:val="18"/>
                <w:szCs w:val="18"/>
              </w:rPr>
            </w:pPr>
            <w:r>
              <w:rPr>
                <w:rFonts w:cs="Times New Roman"/>
                <w:sz w:val="18"/>
                <w:szCs w:val="18"/>
              </w:rPr>
              <w:t xml:space="preserve">4.【规章】《营利性治沙管理办法》（2004年7月1日国家林业局令第11号公布）第十条 林业行政主管部门在决定受理申请之日起30个工作日内,对符合防沙治沙法和本办法规定的,应当予以公示,并书面通知申请人。公示应当载明下列主要内容:(一)申请单位名称或者个人姓名；(二)治理的沙化土地范围、四至以及面积；(三)治理的沙化土地的所有权或者使用权情况,以及发放有关权属证书情况；(四)治理方案的主要内容。 第十一条 有以下情况之一的,林业行政主管部门应当不予公示，并书面通知申请人:(一)治理地点不符合国家和当地防沙治沙规划的；(二)未取得治理范围内土地使用权的；(三)资金没有保障的；(四)治理方案未通过专家技术论证的。 </w:t>
            </w:r>
            <w:r>
              <w:rPr>
                <w:rFonts w:cs="Times New Roman"/>
                <w:sz w:val="18"/>
                <w:szCs w:val="18"/>
              </w:rPr>
              <w:br w:type="textWrapping"/>
            </w:r>
            <w:r>
              <w:rPr>
                <w:rFonts w:cs="Times New Roman"/>
                <w:sz w:val="18"/>
                <w:szCs w:val="18"/>
              </w:rPr>
              <w:t xml:space="preserve">    5.同4。</w:t>
            </w:r>
            <w:r>
              <w:rPr>
                <w:rFonts w:cs="Times New Roman"/>
                <w:sz w:val="18"/>
                <w:szCs w:val="18"/>
              </w:rPr>
              <w:br w:type="textWrapping"/>
            </w:r>
            <w:r>
              <w:rPr>
                <w:rFonts w:cs="Times New Roman"/>
                <w:sz w:val="18"/>
                <w:szCs w:val="18"/>
              </w:rPr>
              <w:t xml:space="preserve">    6-1.【规章】《营利性治沙管理办法》（2004年7月1日国家林业局令第11号公布）第十六条 从事营利性治沙的单位和个人可以要求林业行政主管部门给予指导。林业行政主管部门应当根据从事营利性治沙的单位和个人的要求,在下列方面给予指导: (一)有关防沙治沙工作的政策和法规咨询;(二)编制治理方案;(三)编制年度作业设计;(四)提供相关的技术培训。 </w:t>
            </w:r>
            <w:r>
              <w:rPr>
                <w:rFonts w:cs="Times New Roman"/>
                <w:sz w:val="18"/>
                <w:szCs w:val="18"/>
              </w:rPr>
              <w:br w:type="textWrapping"/>
            </w:r>
            <w:r>
              <w:rPr>
                <w:rFonts w:cs="Times New Roman"/>
                <w:sz w:val="18"/>
                <w:szCs w:val="18"/>
              </w:rPr>
              <w:t xml:space="preserve">    6-2.【规章】《营利性治沙管理办法》（2004年7月1日国家林业局令第11号公布）第十八条 林业行政主管部门在收到验收申请后30个工作日内,应当按照治理方案确定的各项技术指标组织检查验收。 对验收合格的,林业行政主管部门应当发给治理合格证明文件;对验收不合格的,从事营利性治沙的单位和个人应当继续治理。</w:t>
            </w:r>
          </w:p>
        </w:tc>
        <w:tc>
          <w:tcPr>
            <w:tcW w:w="1415"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5944"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5.【法律】《中华人民共和国行政许可法》（2003年8月27日主席令第七号公布）第七十三条 行政机关工作人员办理行政许可、实施监督检查，索取或者收受他人财物或者谋取其他利益，构成犯罪的，依法追究刑事责任；尚不构成犯罪的，依法给予行政处分。</w:t>
            </w:r>
          </w:p>
        </w:tc>
        <w:tc>
          <w:tcPr>
            <w:tcW w:w="610" w:type="dxa"/>
            <w:vAlign w:val="center"/>
          </w:tcPr>
          <w:p>
            <w:pPr>
              <w:spacing w:line="240" w:lineRule="exact"/>
              <w:jc w:val="center"/>
              <w:rPr>
                <w:rFonts w:cs="Times New Roman"/>
                <w:sz w:val="18"/>
                <w:szCs w:val="18"/>
              </w:rPr>
            </w:pPr>
          </w:p>
        </w:tc>
      </w:tr>
    </w:tbl>
    <w:p>
      <w:pPr>
        <w:rPr>
          <w:rFonts w:cs="Times New Roman"/>
          <w:sz w:val="18"/>
          <w:szCs w:val="18"/>
        </w:rPr>
      </w:pPr>
    </w:p>
    <w:p>
      <w:pPr>
        <w:rPr>
          <w:rFonts w:cs="Times New Roman"/>
          <w:sz w:val="18"/>
          <w:szCs w:val="18"/>
        </w:rPr>
      </w:pPr>
    </w:p>
    <w:tbl>
      <w:tblPr>
        <w:tblStyle w:val="7"/>
        <w:tblpPr w:leftFromText="180" w:rightFromText="180" w:vertAnchor="text" w:horzAnchor="page" w:tblpX="1143" w:tblpY="114"/>
        <w:tblOverlap w:val="never"/>
        <w:tblW w:w="21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053"/>
        <w:gridCol w:w="786"/>
        <w:gridCol w:w="758"/>
        <w:gridCol w:w="1957"/>
        <w:gridCol w:w="2227"/>
        <w:gridCol w:w="6198"/>
        <w:gridCol w:w="1407"/>
        <w:gridCol w:w="5916"/>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931" w:type="dxa"/>
            <w:vAlign w:val="center"/>
          </w:tcPr>
          <w:p>
            <w:pPr>
              <w:spacing w:line="280" w:lineRule="exact"/>
              <w:jc w:val="center"/>
              <w:rPr>
                <w:rFonts w:cs="Times New Roman"/>
                <w:sz w:val="18"/>
                <w:szCs w:val="18"/>
              </w:rPr>
            </w:pPr>
            <w:r>
              <w:rPr>
                <w:rFonts w:cs="Times New Roman"/>
                <w:sz w:val="18"/>
                <w:szCs w:val="18"/>
              </w:rPr>
              <w:t>序号</w:t>
            </w:r>
          </w:p>
        </w:tc>
        <w:tc>
          <w:tcPr>
            <w:tcW w:w="1053"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786" w:type="dxa"/>
            <w:vAlign w:val="center"/>
          </w:tcPr>
          <w:p>
            <w:pPr>
              <w:spacing w:line="280" w:lineRule="exact"/>
              <w:jc w:val="center"/>
              <w:rPr>
                <w:rFonts w:cs="Times New Roman"/>
                <w:sz w:val="18"/>
                <w:szCs w:val="18"/>
              </w:rPr>
            </w:pPr>
            <w:r>
              <w:rPr>
                <w:rFonts w:cs="Times New Roman"/>
                <w:sz w:val="18"/>
                <w:szCs w:val="18"/>
              </w:rPr>
              <w:t>项目名称</w:t>
            </w:r>
          </w:p>
        </w:tc>
        <w:tc>
          <w:tcPr>
            <w:tcW w:w="758" w:type="dxa"/>
            <w:vAlign w:val="center"/>
          </w:tcPr>
          <w:p>
            <w:pPr>
              <w:spacing w:line="280" w:lineRule="exact"/>
              <w:jc w:val="center"/>
              <w:rPr>
                <w:rFonts w:cs="Times New Roman"/>
                <w:sz w:val="18"/>
                <w:szCs w:val="18"/>
              </w:rPr>
            </w:pPr>
            <w:r>
              <w:rPr>
                <w:rFonts w:cs="Times New Roman"/>
                <w:sz w:val="18"/>
                <w:szCs w:val="18"/>
              </w:rPr>
              <w:t>子项</w:t>
            </w:r>
          </w:p>
        </w:tc>
        <w:tc>
          <w:tcPr>
            <w:tcW w:w="1957" w:type="dxa"/>
            <w:vAlign w:val="center"/>
          </w:tcPr>
          <w:p>
            <w:pPr>
              <w:spacing w:line="280" w:lineRule="exact"/>
              <w:jc w:val="center"/>
              <w:rPr>
                <w:rFonts w:cs="Times New Roman"/>
                <w:sz w:val="18"/>
                <w:szCs w:val="18"/>
              </w:rPr>
            </w:pPr>
            <w:r>
              <w:rPr>
                <w:rFonts w:cs="Times New Roman"/>
                <w:sz w:val="18"/>
                <w:szCs w:val="18"/>
              </w:rPr>
              <w:t>实施依据</w:t>
            </w:r>
          </w:p>
        </w:tc>
        <w:tc>
          <w:tcPr>
            <w:tcW w:w="2227" w:type="dxa"/>
            <w:vAlign w:val="center"/>
          </w:tcPr>
          <w:p>
            <w:pPr>
              <w:spacing w:line="280" w:lineRule="exact"/>
              <w:jc w:val="center"/>
              <w:rPr>
                <w:rFonts w:cs="Times New Roman"/>
                <w:sz w:val="18"/>
                <w:szCs w:val="18"/>
              </w:rPr>
            </w:pPr>
            <w:r>
              <w:rPr>
                <w:rFonts w:cs="Times New Roman"/>
                <w:sz w:val="18"/>
                <w:szCs w:val="18"/>
              </w:rPr>
              <w:t>责任事项</w:t>
            </w:r>
          </w:p>
        </w:tc>
        <w:tc>
          <w:tcPr>
            <w:tcW w:w="6198" w:type="dxa"/>
            <w:vAlign w:val="center"/>
          </w:tcPr>
          <w:p>
            <w:pPr>
              <w:spacing w:line="280" w:lineRule="exact"/>
              <w:jc w:val="center"/>
              <w:rPr>
                <w:rFonts w:cs="Times New Roman"/>
                <w:sz w:val="18"/>
                <w:szCs w:val="18"/>
              </w:rPr>
            </w:pPr>
            <w:r>
              <w:rPr>
                <w:rFonts w:cs="Times New Roman"/>
                <w:sz w:val="18"/>
                <w:szCs w:val="18"/>
              </w:rPr>
              <w:t>责任事项依据</w:t>
            </w:r>
          </w:p>
        </w:tc>
        <w:tc>
          <w:tcPr>
            <w:tcW w:w="1407" w:type="dxa"/>
            <w:vAlign w:val="center"/>
          </w:tcPr>
          <w:p>
            <w:pPr>
              <w:spacing w:line="280" w:lineRule="exact"/>
              <w:jc w:val="center"/>
              <w:rPr>
                <w:rFonts w:cs="Times New Roman"/>
                <w:sz w:val="18"/>
                <w:szCs w:val="18"/>
              </w:rPr>
            </w:pPr>
            <w:r>
              <w:rPr>
                <w:rFonts w:cs="Times New Roman"/>
                <w:sz w:val="18"/>
                <w:szCs w:val="18"/>
              </w:rPr>
              <w:t>追责情形</w:t>
            </w:r>
          </w:p>
        </w:tc>
        <w:tc>
          <w:tcPr>
            <w:tcW w:w="5916" w:type="dxa"/>
            <w:vAlign w:val="center"/>
          </w:tcPr>
          <w:p>
            <w:pPr>
              <w:spacing w:line="280" w:lineRule="exact"/>
              <w:jc w:val="center"/>
              <w:rPr>
                <w:rFonts w:cs="Times New Roman"/>
                <w:sz w:val="18"/>
                <w:szCs w:val="18"/>
              </w:rPr>
            </w:pPr>
            <w:r>
              <w:rPr>
                <w:rFonts w:cs="Times New Roman"/>
                <w:sz w:val="18"/>
                <w:szCs w:val="18"/>
              </w:rPr>
              <w:t>追责依据</w:t>
            </w:r>
          </w:p>
        </w:tc>
        <w:tc>
          <w:tcPr>
            <w:tcW w:w="607"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3" w:hRule="atLeast"/>
        </w:trPr>
        <w:tc>
          <w:tcPr>
            <w:tcW w:w="931" w:type="dxa"/>
            <w:vAlign w:val="center"/>
          </w:tcPr>
          <w:p>
            <w:pPr>
              <w:spacing w:line="240" w:lineRule="exact"/>
              <w:jc w:val="center"/>
              <w:rPr>
                <w:rFonts w:cs="Times New Roman"/>
                <w:sz w:val="18"/>
                <w:szCs w:val="18"/>
              </w:rPr>
            </w:pPr>
            <w:r>
              <w:rPr>
                <w:rFonts w:cs="Times New Roman"/>
                <w:sz w:val="18"/>
                <w:szCs w:val="18"/>
              </w:rPr>
              <w:t>10</w:t>
            </w:r>
          </w:p>
        </w:tc>
        <w:tc>
          <w:tcPr>
            <w:tcW w:w="1053" w:type="dxa"/>
            <w:vAlign w:val="center"/>
          </w:tcPr>
          <w:p>
            <w:pPr>
              <w:spacing w:line="240" w:lineRule="exact"/>
              <w:rPr>
                <w:rFonts w:cs="Times New Roman"/>
                <w:sz w:val="18"/>
                <w:szCs w:val="18"/>
              </w:rPr>
            </w:pPr>
            <w:r>
              <w:rPr>
                <w:rFonts w:cs="Times New Roman"/>
                <w:sz w:val="18"/>
                <w:szCs w:val="18"/>
              </w:rPr>
              <w:t>行政许可</w:t>
            </w:r>
          </w:p>
        </w:tc>
        <w:tc>
          <w:tcPr>
            <w:tcW w:w="786" w:type="dxa"/>
            <w:vAlign w:val="center"/>
          </w:tcPr>
          <w:p>
            <w:pPr>
              <w:spacing w:line="240" w:lineRule="exact"/>
              <w:rPr>
                <w:rFonts w:cs="Times New Roman"/>
                <w:sz w:val="18"/>
                <w:szCs w:val="18"/>
              </w:rPr>
            </w:pPr>
            <w:r>
              <w:rPr>
                <w:rFonts w:cs="Times New Roman"/>
                <w:snapToGrid w:val="0"/>
                <w:sz w:val="18"/>
                <w:szCs w:val="18"/>
              </w:rPr>
              <w:t>猎捕非国家重点保护陆生野生动物狩猎证核发</w:t>
            </w:r>
          </w:p>
        </w:tc>
        <w:tc>
          <w:tcPr>
            <w:tcW w:w="758" w:type="dxa"/>
            <w:vAlign w:val="center"/>
          </w:tcPr>
          <w:p>
            <w:pPr>
              <w:spacing w:line="240" w:lineRule="exact"/>
              <w:rPr>
                <w:rFonts w:cs="Times New Roman"/>
                <w:sz w:val="18"/>
                <w:szCs w:val="18"/>
              </w:rPr>
            </w:pPr>
            <w:r>
              <w:rPr>
                <w:rFonts w:cs="Times New Roman"/>
                <w:sz w:val="18"/>
                <w:szCs w:val="18"/>
              </w:rPr>
              <w:t>　</w:t>
            </w:r>
          </w:p>
        </w:tc>
        <w:tc>
          <w:tcPr>
            <w:tcW w:w="1957" w:type="dxa"/>
            <w:vAlign w:val="center"/>
          </w:tcPr>
          <w:p>
            <w:pPr>
              <w:spacing w:line="240" w:lineRule="exact"/>
              <w:ind w:firstLine="360"/>
              <w:rPr>
                <w:rFonts w:cs="Times New Roman"/>
                <w:color w:val="000000"/>
                <w:sz w:val="18"/>
                <w:szCs w:val="18"/>
              </w:rPr>
            </w:pPr>
            <w:r>
              <w:rPr>
                <w:rFonts w:cs="Times New Roman"/>
                <w:sz w:val="18"/>
                <w:szCs w:val="18"/>
              </w:rPr>
              <w:t>【法律】</w:t>
            </w:r>
            <w:r>
              <w:rPr>
                <w:rFonts w:cs="Times New Roman"/>
                <w:snapToGrid w:val="0"/>
                <w:sz w:val="18"/>
                <w:szCs w:val="18"/>
              </w:rPr>
              <w:t>《中华人民共和国野生动物保护法》（1988年11月8日主席令第九号公布，2016年7月2日主席令第四十七号第二次修改）</w:t>
            </w:r>
            <w:r>
              <w:rPr>
                <w:rFonts w:cs="Times New Roman"/>
                <w:color w:val="000000"/>
                <w:sz w:val="18"/>
                <w:szCs w:val="18"/>
              </w:rPr>
              <w:t>第二十二条　猎捕非国家重点保护野生动物的，应当依法取得县级以上地方人民政府野生动物保护主管部门核发的狩猎证，并且服从猎捕量限额管理。第二十三条　猎捕者应当按照特许猎捕证、狩猎证规定的种类、数量、地点、工具、方法和期限进行猎捕。持枪猎捕的，应当依法取得公安机关核发的持枪证。</w:t>
            </w:r>
          </w:p>
          <w:p>
            <w:pPr>
              <w:spacing w:line="240" w:lineRule="exact"/>
              <w:ind w:firstLine="360" w:firstLineChars="200"/>
              <w:rPr>
                <w:rFonts w:cs="Times New Roman"/>
                <w:sz w:val="18"/>
                <w:szCs w:val="18"/>
              </w:rPr>
            </w:pPr>
          </w:p>
        </w:tc>
        <w:tc>
          <w:tcPr>
            <w:tcW w:w="2227" w:type="dxa"/>
            <w:vAlign w:val="center"/>
          </w:tcPr>
          <w:p>
            <w:pPr>
              <w:spacing w:line="240" w:lineRule="exact"/>
              <w:ind w:firstLine="270" w:firstLineChars="150"/>
              <w:rPr>
                <w:rFonts w:cs="Times New Roman"/>
                <w:sz w:val="18"/>
                <w:szCs w:val="18"/>
              </w:rPr>
            </w:pPr>
            <w:r>
              <w:rPr>
                <w:rFonts w:cs="Times New Roman"/>
                <w:sz w:val="18"/>
                <w:szCs w:val="18"/>
              </w:rPr>
              <w:t xml:space="preserve"> 1.受理责任：公示依法应当提交的材料，一次性告知补正材料；依法受理或不予受理（不予受理应当告知理由）；</w:t>
            </w:r>
            <w:r>
              <w:rPr>
                <w:rFonts w:cs="Times New Roman"/>
                <w:sz w:val="18"/>
                <w:szCs w:val="18"/>
              </w:rPr>
              <w:br w:type="textWrapping"/>
            </w:r>
            <w:r>
              <w:rPr>
                <w:rFonts w:cs="Times New Roman"/>
                <w:sz w:val="18"/>
                <w:szCs w:val="18"/>
              </w:rPr>
              <w:t xml:space="preserve">    2.审查责任：审核材料，（主要包括猎捕方案、证明猎捕目的的有效文件、申请猎捕的野生动物种类资源现状及其对环境、社会的影像调查材料）；审核材料。</w:t>
            </w:r>
          </w:p>
          <w:p>
            <w:pPr>
              <w:spacing w:line="240" w:lineRule="exact"/>
              <w:ind w:firstLine="360" w:firstLineChars="200"/>
              <w:rPr>
                <w:rFonts w:cs="Times New Roman"/>
                <w:sz w:val="18"/>
                <w:szCs w:val="18"/>
              </w:rPr>
            </w:pPr>
            <w:r>
              <w:rPr>
                <w:rFonts w:cs="Times New Roman"/>
                <w:sz w:val="18"/>
                <w:szCs w:val="18"/>
              </w:rPr>
              <w:t>3.决定责任：作出决定（不予行政许可的应当告知理由）；按时办结；</w:t>
            </w:r>
          </w:p>
          <w:p>
            <w:pPr>
              <w:spacing w:line="240" w:lineRule="exact"/>
              <w:ind w:firstLine="360" w:firstLineChars="200"/>
              <w:rPr>
                <w:rFonts w:cs="Times New Roman"/>
                <w:sz w:val="18"/>
                <w:szCs w:val="18"/>
              </w:rPr>
            </w:pPr>
            <w:r>
              <w:rPr>
                <w:rFonts w:cs="Times New Roman"/>
                <w:sz w:val="18"/>
                <w:szCs w:val="18"/>
              </w:rPr>
              <w:t>4.送达责任：制发送达行政许可审核同意书；信息公开。</w:t>
            </w:r>
          </w:p>
          <w:p>
            <w:pPr>
              <w:spacing w:line="240" w:lineRule="exact"/>
              <w:ind w:firstLine="360" w:firstLineChars="200"/>
              <w:rPr>
                <w:rFonts w:cs="Times New Roman"/>
                <w:sz w:val="18"/>
                <w:szCs w:val="18"/>
              </w:rPr>
            </w:pPr>
            <w:r>
              <w:rPr>
                <w:rFonts w:cs="Times New Roman"/>
                <w:sz w:val="18"/>
                <w:szCs w:val="18"/>
              </w:rPr>
              <w:t>5.监管责任：建立审批档案；加强审批事项的监督检查。</w:t>
            </w:r>
          </w:p>
          <w:p>
            <w:pPr>
              <w:spacing w:line="240" w:lineRule="exact"/>
              <w:ind w:firstLine="360" w:firstLineChars="200"/>
              <w:rPr>
                <w:rFonts w:cs="Times New Roman"/>
                <w:sz w:val="18"/>
                <w:szCs w:val="18"/>
              </w:rPr>
            </w:pPr>
            <w:r>
              <w:rPr>
                <w:rFonts w:cs="Times New Roman"/>
                <w:sz w:val="18"/>
                <w:szCs w:val="18"/>
              </w:rPr>
              <w:t xml:space="preserve">6.其他法律法规规章文件规定应承担的责任。    </w:t>
            </w:r>
          </w:p>
        </w:tc>
        <w:tc>
          <w:tcPr>
            <w:tcW w:w="6198" w:type="dxa"/>
            <w:vAlign w:val="center"/>
          </w:tcPr>
          <w:p>
            <w:pPr>
              <w:spacing w:line="240" w:lineRule="exact"/>
              <w:ind w:firstLine="360" w:firstLineChars="200"/>
              <w:rPr>
                <w:rFonts w:cs="Times New Roman"/>
                <w:sz w:val="18"/>
                <w:szCs w:val="18"/>
              </w:rPr>
            </w:pPr>
            <w:r>
              <w:rPr>
                <w:rFonts w:cs="Times New Roman"/>
                <w:sz w:val="18"/>
                <w:szCs w:val="18"/>
              </w:rPr>
              <w:t>1.【法律】《中华人民共和国行政许可法》（2003年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 xml:space="preserve">    2.【法律】《中华人民共和国行政许可法》（2003年8月27日主席令第七号公布）第三十四条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r>
              <w:rPr>
                <w:rFonts w:cs="Times New Roman"/>
                <w:sz w:val="18"/>
                <w:szCs w:val="18"/>
              </w:rPr>
              <w:br w:type="textWrapping"/>
            </w:r>
            <w:r>
              <w:rPr>
                <w:rFonts w:hint="eastAsia" w:cs="Times New Roman"/>
                <w:sz w:val="18"/>
                <w:szCs w:val="18"/>
              </w:rPr>
              <w:t xml:space="preserve">  3</w:t>
            </w:r>
            <w:r>
              <w:rPr>
                <w:rFonts w:cs="Times New Roman"/>
                <w:sz w:val="18"/>
                <w:szCs w:val="18"/>
              </w:rPr>
              <w:t>.【法律】《中华人民共和国行政许可法》（2003年8月27日主席令第七号公布）第三十七条 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cs="Times New Roman"/>
                <w:sz w:val="18"/>
                <w:szCs w:val="18"/>
              </w:rPr>
              <w:br w:type="textWrapping"/>
            </w:r>
            <w:r>
              <w:rPr>
                <w:rFonts w:hint="eastAsia" w:cs="Times New Roman"/>
                <w:sz w:val="18"/>
                <w:szCs w:val="18"/>
              </w:rPr>
              <w:t>4</w:t>
            </w:r>
            <w:r>
              <w:rPr>
                <w:rFonts w:cs="Times New Roman"/>
                <w:sz w:val="18"/>
                <w:szCs w:val="18"/>
              </w:rPr>
              <w:t>.【法律】《中华人民共和国行政许可法》（2003年8月27日主席令第七号公布）第四十四条 行政机关作出准予行政许可的决定，应当自作出决定之日起十日内向申请人颁发、送达行政许可证件，或者加贴标签、加盖检验、检测、检疫印章。</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【法律】《中华人民共和国行政许可法》（2003年8月27日主席令第七号公布）第六十一条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40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5916"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5.【法律】《中华人民共和国行政许可法》（2003年8月27日主席令第七号公布）第七十三条 行政机关工作人员办理行政许可、实施监督检查，索取或者收受他人财物或者谋取其他利益，构成犯罪的，依法追究刑事责任；尚不构成犯罪的，依法给予行政处分。</w:t>
            </w:r>
          </w:p>
        </w:tc>
        <w:tc>
          <w:tcPr>
            <w:tcW w:w="607" w:type="dxa"/>
            <w:vAlign w:val="center"/>
          </w:tcPr>
          <w:p>
            <w:pPr>
              <w:spacing w:line="240" w:lineRule="exact"/>
              <w:jc w:val="center"/>
              <w:rPr>
                <w:rFonts w:cs="Times New Roman"/>
                <w:sz w:val="18"/>
                <w:szCs w:val="18"/>
              </w:rPr>
            </w:pPr>
          </w:p>
        </w:tc>
      </w:tr>
    </w:tbl>
    <w:p>
      <w:pPr>
        <w:rPr>
          <w:rFonts w:cs="Times New Roman"/>
          <w:sz w:val="18"/>
          <w:szCs w:val="18"/>
        </w:rPr>
      </w:pPr>
    </w:p>
    <w:p>
      <w:pPr>
        <w:rPr>
          <w:rFonts w:cs="Times New Roman"/>
          <w:sz w:val="18"/>
          <w:szCs w:val="18"/>
        </w:rPr>
      </w:pPr>
    </w:p>
    <w:tbl>
      <w:tblPr>
        <w:tblStyle w:val="7"/>
        <w:tblpPr w:leftFromText="180" w:rightFromText="180" w:vertAnchor="text" w:horzAnchor="page" w:tblpX="1075" w:tblpY="155"/>
        <w:tblOverlap w:val="never"/>
        <w:tblW w:w="21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1011"/>
        <w:gridCol w:w="809"/>
        <w:gridCol w:w="741"/>
        <w:gridCol w:w="1955"/>
        <w:gridCol w:w="2225"/>
        <w:gridCol w:w="6208"/>
        <w:gridCol w:w="1415"/>
        <w:gridCol w:w="5942"/>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024" w:type="dxa"/>
            <w:vAlign w:val="center"/>
          </w:tcPr>
          <w:p>
            <w:pPr>
              <w:spacing w:line="280" w:lineRule="exact"/>
              <w:jc w:val="center"/>
              <w:rPr>
                <w:rFonts w:cs="Times New Roman"/>
                <w:sz w:val="18"/>
                <w:szCs w:val="18"/>
              </w:rPr>
            </w:pPr>
            <w:r>
              <w:rPr>
                <w:rFonts w:cs="Times New Roman"/>
                <w:sz w:val="18"/>
                <w:szCs w:val="18"/>
              </w:rPr>
              <w:t>序号</w:t>
            </w:r>
          </w:p>
        </w:tc>
        <w:tc>
          <w:tcPr>
            <w:tcW w:w="1011" w:type="dxa"/>
            <w:vAlign w:val="center"/>
          </w:tcPr>
          <w:p>
            <w:pPr>
              <w:spacing w:line="280" w:lineRule="exact"/>
              <w:jc w:val="center"/>
              <w:rPr>
                <w:rFonts w:cs="Times New Roman"/>
                <w:sz w:val="18"/>
                <w:szCs w:val="18"/>
              </w:rPr>
            </w:pPr>
            <w:r>
              <w:rPr>
                <w:rFonts w:cs="Times New Roman"/>
                <w:sz w:val="18"/>
                <w:szCs w:val="18"/>
              </w:rPr>
              <w:t>权力</w:t>
            </w:r>
            <w:r>
              <w:rPr>
                <w:rFonts w:cs="Times New Roman"/>
                <w:sz w:val="18"/>
                <w:szCs w:val="18"/>
              </w:rPr>
              <w:br w:type="textWrapping"/>
            </w:r>
            <w:r>
              <w:rPr>
                <w:rFonts w:cs="Times New Roman"/>
                <w:sz w:val="18"/>
                <w:szCs w:val="18"/>
              </w:rPr>
              <w:t>分类</w:t>
            </w:r>
          </w:p>
        </w:tc>
        <w:tc>
          <w:tcPr>
            <w:tcW w:w="809" w:type="dxa"/>
            <w:vAlign w:val="center"/>
          </w:tcPr>
          <w:p>
            <w:pPr>
              <w:spacing w:line="280" w:lineRule="exact"/>
              <w:jc w:val="center"/>
              <w:rPr>
                <w:rFonts w:cs="Times New Roman"/>
                <w:sz w:val="18"/>
                <w:szCs w:val="18"/>
              </w:rPr>
            </w:pPr>
            <w:r>
              <w:rPr>
                <w:rFonts w:cs="Times New Roman"/>
                <w:sz w:val="18"/>
                <w:szCs w:val="18"/>
              </w:rPr>
              <w:t>项目名称</w:t>
            </w:r>
          </w:p>
        </w:tc>
        <w:tc>
          <w:tcPr>
            <w:tcW w:w="741" w:type="dxa"/>
            <w:vAlign w:val="center"/>
          </w:tcPr>
          <w:p>
            <w:pPr>
              <w:spacing w:line="280" w:lineRule="exact"/>
              <w:jc w:val="center"/>
              <w:rPr>
                <w:rFonts w:cs="Times New Roman"/>
                <w:sz w:val="18"/>
                <w:szCs w:val="18"/>
              </w:rPr>
            </w:pPr>
            <w:r>
              <w:rPr>
                <w:rFonts w:cs="Times New Roman"/>
                <w:sz w:val="18"/>
                <w:szCs w:val="18"/>
              </w:rPr>
              <w:t>子项</w:t>
            </w:r>
          </w:p>
        </w:tc>
        <w:tc>
          <w:tcPr>
            <w:tcW w:w="1955" w:type="dxa"/>
            <w:vAlign w:val="center"/>
          </w:tcPr>
          <w:p>
            <w:pPr>
              <w:spacing w:line="280" w:lineRule="exact"/>
              <w:jc w:val="center"/>
              <w:rPr>
                <w:rFonts w:cs="Times New Roman"/>
                <w:sz w:val="18"/>
                <w:szCs w:val="18"/>
              </w:rPr>
            </w:pPr>
            <w:r>
              <w:rPr>
                <w:rFonts w:cs="Times New Roman"/>
                <w:sz w:val="18"/>
                <w:szCs w:val="18"/>
              </w:rPr>
              <w:t>实施依据</w:t>
            </w:r>
          </w:p>
        </w:tc>
        <w:tc>
          <w:tcPr>
            <w:tcW w:w="2225" w:type="dxa"/>
            <w:vAlign w:val="center"/>
          </w:tcPr>
          <w:p>
            <w:pPr>
              <w:spacing w:line="280" w:lineRule="exact"/>
              <w:jc w:val="center"/>
              <w:rPr>
                <w:rFonts w:cs="Times New Roman"/>
                <w:sz w:val="18"/>
                <w:szCs w:val="18"/>
              </w:rPr>
            </w:pPr>
            <w:r>
              <w:rPr>
                <w:rFonts w:cs="Times New Roman"/>
                <w:sz w:val="18"/>
                <w:szCs w:val="18"/>
              </w:rPr>
              <w:t>责任事项</w:t>
            </w:r>
          </w:p>
        </w:tc>
        <w:tc>
          <w:tcPr>
            <w:tcW w:w="6208" w:type="dxa"/>
            <w:vAlign w:val="center"/>
          </w:tcPr>
          <w:p>
            <w:pPr>
              <w:spacing w:line="280" w:lineRule="exact"/>
              <w:jc w:val="center"/>
              <w:rPr>
                <w:rFonts w:cs="Times New Roman"/>
                <w:sz w:val="18"/>
                <w:szCs w:val="18"/>
              </w:rPr>
            </w:pPr>
            <w:r>
              <w:rPr>
                <w:rFonts w:cs="Times New Roman"/>
                <w:sz w:val="18"/>
                <w:szCs w:val="18"/>
              </w:rPr>
              <w:t>责任事项依据</w:t>
            </w:r>
          </w:p>
        </w:tc>
        <w:tc>
          <w:tcPr>
            <w:tcW w:w="1415" w:type="dxa"/>
            <w:vAlign w:val="center"/>
          </w:tcPr>
          <w:p>
            <w:pPr>
              <w:spacing w:line="280" w:lineRule="exact"/>
              <w:jc w:val="center"/>
              <w:rPr>
                <w:rFonts w:cs="Times New Roman"/>
                <w:sz w:val="18"/>
                <w:szCs w:val="18"/>
              </w:rPr>
            </w:pPr>
            <w:r>
              <w:rPr>
                <w:rFonts w:cs="Times New Roman"/>
                <w:sz w:val="18"/>
                <w:szCs w:val="18"/>
              </w:rPr>
              <w:t>追责情形</w:t>
            </w:r>
          </w:p>
        </w:tc>
        <w:tc>
          <w:tcPr>
            <w:tcW w:w="5942"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9" w:hRule="atLeast"/>
        </w:trPr>
        <w:tc>
          <w:tcPr>
            <w:tcW w:w="1024" w:type="dxa"/>
            <w:vAlign w:val="center"/>
          </w:tcPr>
          <w:p>
            <w:pPr>
              <w:spacing w:line="240" w:lineRule="exact"/>
              <w:jc w:val="center"/>
              <w:rPr>
                <w:rFonts w:cs="Times New Roman"/>
                <w:sz w:val="18"/>
                <w:szCs w:val="18"/>
              </w:rPr>
            </w:pPr>
            <w:r>
              <w:rPr>
                <w:rFonts w:cs="Times New Roman"/>
                <w:sz w:val="18"/>
                <w:szCs w:val="18"/>
              </w:rPr>
              <w:t>11</w:t>
            </w:r>
          </w:p>
        </w:tc>
        <w:tc>
          <w:tcPr>
            <w:tcW w:w="1011" w:type="dxa"/>
            <w:vAlign w:val="center"/>
          </w:tcPr>
          <w:p>
            <w:pPr>
              <w:spacing w:line="240" w:lineRule="exact"/>
              <w:rPr>
                <w:rFonts w:cs="Times New Roman"/>
                <w:sz w:val="18"/>
                <w:szCs w:val="18"/>
              </w:rPr>
            </w:pPr>
            <w:r>
              <w:rPr>
                <w:rFonts w:cs="Times New Roman"/>
                <w:sz w:val="18"/>
                <w:szCs w:val="18"/>
              </w:rPr>
              <w:t>行政许可</w:t>
            </w:r>
          </w:p>
        </w:tc>
        <w:tc>
          <w:tcPr>
            <w:tcW w:w="809" w:type="dxa"/>
            <w:vAlign w:val="center"/>
          </w:tcPr>
          <w:p>
            <w:pPr>
              <w:spacing w:line="240" w:lineRule="exact"/>
              <w:rPr>
                <w:rFonts w:cs="Times New Roman"/>
                <w:sz w:val="18"/>
                <w:szCs w:val="18"/>
              </w:rPr>
            </w:pPr>
            <w:r>
              <w:rPr>
                <w:rFonts w:cs="Times New Roman"/>
                <w:snapToGrid w:val="0"/>
                <w:sz w:val="18"/>
                <w:szCs w:val="18"/>
              </w:rPr>
              <w:t>森林高火险期内进入森林高火险区的活动审批</w:t>
            </w:r>
          </w:p>
        </w:tc>
        <w:tc>
          <w:tcPr>
            <w:tcW w:w="741" w:type="dxa"/>
            <w:vAlign w:val="center"/>
          </w:tcPr>
          <w:p>
            <w:pPr>
              <w:spacing w:line="240" w:lineRule="exact"/>
              <w:rPr>
                <w:rFonts w:cs="Times New Roman"/>
                <w:sz w:val="18"/>
                <w:szCs w:val="18"/>
              </w:rPr>
            </w:pPr>
            <w:r>
              <w:rPr>
                <w:rFonts w:cs="Times New Roman"/>
                <w:sz w:val="18"/>
                <w:szCs w:val="18"/>
              </w:rPr>
              <w:t>　</w:t>
            </w:r>
          </w:p>
        </w:tc>
        <w:tc>
          <w:tcPr>
            <w:tcW w:w="1955" w:type="dxa"/>
            <w:vAlign w:val="center"/>
          </w:tcPr>
          <w:p>
            <w:pPr>
              <w:spacing w:line="240" w:lineRule="exact"/>
              <w:ind w:firstLine="360"/>
              <w:rPr>
                <w:rFonts w:cs="Times New Roman"/>
                <w:color w:val="000000"/>
                <w:sz w:val="18"/>
                <w:szCs w:val="18"/>
              </w:rPr>
            </w:pPr>
            <w:r>
              <w:rPr>
                <w:rFonts w:cs="Times New Roman"/>
                <w:sz w:val="18"/>
                <w:szCs w:val="18"/>
              </w:rPr>
              <w:t>【法规】</w:t>
            </w:r>
            <w:r>
              <w:rPr>
                <w:rFonts w:cs="Times New Roman"/>
                <w:snapToGrid w:val="0"/>
                <w:sz w:val="18"/>
                <w:szCs w:val="18"/>
              </w:rPr>
              <w:t>《森林防火条例》（1988年1月16日国务院公布，2008年12月1日国务院第541号令公布）第二十九条森林高火险期内，进入森林高火险区的，应当经县级以上地方人民政府批准，严格按照批准的时间、地点、范围活动，并接受县级以上地方人民政府林业主管部门的监督管理。</w:t>
            </w:r>
          </w:p>
          <w:p>
            <w:pPr>
              <w:spacing w:line="240" w:lineRule="exact"/>
              <w:ind w:firstLine="360" w:firstLineChars="200"/>
              <w:rPr>
                <w:rFonts w:cs="Times New Roman"/>
                <w:sz w:val="18"/>
                <w:szCs w:val="18"/>
              </w:rPr>
            </w:pPr>
          </w:p>
        </w:tc>
        <w:tc>
          <w:tcPr>
            <w:tcW w:w="2225" w:type="dxa"/>
            <w:vAlign w:val="center"/>
          </w:tcPr>
          <w:p>
            <w:pPr>
              <w:spacing w:line="240" w:lineRule="exact"/>
              <w:ind w:firstLine="360" w:firstLineChars="200"/>
              <w:rPr>
                <w:rFonts w:cs="Times New Roman"/>
                <w:sz w:val="18"/>
                <w:szCs w:val="18"/>
              </w:rPr>
            </w:pPr>
            <w:r>
              <w:rPr>
                <w:rFonts w:cs="Times New Roman"/>
                <w:sz w:val="18"/>
                <w:szCs w:val="18"/>
              </w:rPr>
              <w:t>1.受理责任：公示依法应当提交的材料，一次性告知补正材料；依法受理或不予受理（不予受理应当告知理由）；</w:t>
            </w:r>
            <w:r>
              <w:rPr>
                <w:rFonts w:cs="Times New Roman"/>
                <w:sz w:val="18"/>
                <w:szCs w:val="18"/>
              </w:rPr>
              <w:br w:type="textWrapping"/>
            </w:r>
            <w:r>
              <w:rPr>
                <w:rFonts w:cs="Times New Roman"/>
                <w:sz w:val="18"/>
                <w:szCs w:val="18"/>
              </w:rPr>
              <w:t xml:space="preserve">    2.审查责任：材料审核并提出审查意见。 </w:t>
            </w:r>
          </w:p>
          <w:p>
            <w:pPr>
              <w:spacing w:line="240" w:lineRule="exact"/>
              <w:ind w:firstLine="360" w:firstLineChars="200"/>
              <w:rPr>
                <w:rFonts w:cs="Times New Roman"/>
                <w:sz w:val="18"/>
                <w:szCs w:val="18"/>
              </w:rPr>
            </w:pPr>
            <w:r>
              <w:rPr>
                <w:rFonts w:cs="Times New Roman"/>
                <w:sz w:val="18"/>
                <w:szCs w:val="18"/>
              </w:rPr>
              <w:t>3.决定责任：作出决定（不予行政许可的应当告知理由）；按时办结；</w:t>
            </w:r>
          </w:p>
          <w:p>
            <w:pPr>
              <w:spacing w:line="240" w:lineRule="exact"/>
              <w:ind w:firstLine="360" w:firstLineChars="200"/>
              <w:rPr>
                <w:rFonts w:cs="Times New Roman"/>
                <w:sz w:val="18"/>
                <w:szCs w:val="18"/>
              </w:rPr>
            </w:pPr>
            <w:r>
              <w:rPr>
                <w:rFonts w:cs="Times New Roman"/>
                <w:sz w:val="18"/>
                <w:szCs w:val="18"/>
              </w:rPr>
              <w:t>4.送达责任：制发送达行政许可审核同意书；信息公开。</w:t>
            </w:r>
          </w:p>
          <w:p>
            <w:pPr>
              <w:spacing w:line="240" w:lineRule="exact"/>
              <w:ind w:firstLine="360" w:firstLineChars="200"/>
              <w:rPr>
                <w:rFonts w:cs="Times New Roman"/>
                <w:sz w:val="18"/>
                <w:szCs w:val="18"/>
              </w:rPr>
            </w:pPr>
            <w:r>
              <w:rPr>
                <w:rFonts w:cs="Times New Roman"/>
                <w:sz w:val="18"/>
                <w:szCs w:val="18"/>
              </w:rPr>
              <w:t>5.监管责任：建立审批档案；加强审批事项的监督检查。</w:t>
            </w:r>
          </w:p>
          <w:p>
            <w:pPr>
              <w:spacing w:line="240" w:lineRule="exact"/>
              <w:ind w:firstLine="360" w:firstLineChars="200"/>
              <w:rPr>
                <w:rFonts w:cs="Times New Roman"/>
                <w:sz w:val="18"/>
                <w:szCs w:val="18"/>
              </w:rPr>
            </w:pPr>
            <w:r>
              <w:rPr>
                <w:rFonts w:cs="Times New Roman"/>
                <w:sz w:val="18"/>
                <w:szCs w:val="18"/>
              </w:rPr>
              <w:t xml:space="preserve">6.其他法律法规规章文件规定应承担的责任。    </w:t>
            </w:r>
          </w:p>
        </w:tc>
        <w:tc>
          <w:tcPr>
            <w:tcW w:w="6208" w:type="dxa"/>
            <w:vAlign w:val="center"/>
          </w:tcPr>
          <w:p>
            <w:pPr>
              <w:spacing w:line="240" w:lineRule="exact"/>
              <w:ind w:firstLine="360" w:firstLineChars="200"/>
              <w:rPr>
                <w:rFonts w:cs="Times New Roman"/>
                <w:sz w:val="18"/>
                <w:szCs w:val="18"/>
              </w:rPr>
            </w:pPr>
            <w:r>
              <w:rPr>
                <w:rFonts w:cs="Times New Roman"/>
                <w:sz w:val="18"/>
                <w:szCs w:val="18"/>
              </w:rPr>
              <w:t>1.【法律】《中华人民共和国行政许可法》（2003年</w:t>
            </w:r>
            <w:r>
              <w:rPr>
                <w:rFonts w:hint="eastAsia" w:cs="Times New Roman"/>
                <w:sz w:val="18"/>
                <w:szCs w:val="18"/>
              </w:rPr>
              <w:t>8月27日</w:t>
            </w:r>
            <w:r>
              <w:rPr>
                <w:rFonts w:cs="Times New Roman"/>
                <w:sz w:val="18"/>
                <w:szCs w:val="18"/>
              </w:rPr>
              <w:t>主席令第七号公布）</w:t>
            </w:r>
            <w:r>
              <w:rPr>
                <w:rFonts w:hint="eastAsia" w:cs="Times New Roman"/>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cs="Times New Roman"/>
                <w:sz w:val="18"/>
                <w:szCs w:val="18"/>
              </w:rPr>
              <w:br w:type="textWrapping"/>
            </w:r>
            <w:r>
              <w:rPr>
                <w:rFonts w:cs="Times New Roman"/>
                <w:sz w:val="18"/>
                <w:szCs w:val="18"/>
              </w:rPr>
              <w:t>2.【法律】《中华人民共和国行政许可法》（2003年8月27日主席令第七号公布）第三十四条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spacing w:line="240" w:lineRule="exact"/>
              <w:ind w:firstLine="450" w:firstLineChars="250"/>
              <w:rPr>
                <w:rFonts w:cs="Times New Roman"/>
                <w:sz w:val="18"/>
                <w:szCs w:val="18"/>
              </w:rPr>
            </w:pPr>
            <w:r>
              <w:rPr>
                <w:rFonts w:cs="Times New Roman"/>
                <w:sz w:val="18"/>
                <w:szCs w:val="18"/>
              </w:rPr>
              <w:t>3.【法律】《中华人民共和国行政许可法》（2003年8月27日主席令第七号公布）第三十七条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cs="Times New Roman"/>
                <w:sz w:val="18"/>
                <w:szCs w:val="18"/>
              </w:rPr>
              <w:br w:type="textWrapping"/>
            </w:r>
            <w:r>
              <w:rPr>
                <w:rFonts w:cs="Times New Roman"/>
                <w:sz w:val="18"/>
                <w:szCs w:val="18"/>
              </w:rPr>
              <w:t xml:space="preserve">    4.【法律】《中华人民共和国行政许可法》（2003年8月27日主席令第七号公布）第四十四条 行政机关作出准予行政许可的决定，应当自作出决定之日起十日内向申请人颁发、送达行政许可证件，或者加贴标签、加盖检验、检测、检疫印章。</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.【法律】《中华人民共和国行政许可法》（2003年8月27日主席令第七号公布）第六十一条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415"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 xml:space="preserve">    1.对符合条件的申请不予受理的；</w:t>
            </w:r>
            <w:r>
              <w:rPr>
                <w:rFonts w:cs="Times New Roman"/>
                <w:sz w:val="18"/>
                <w:szCs w:val="18"/>
              </w:rPr>
              <w:br w:type="textWrapping"/>
            </w:r>
            <w:r>
              <w:rPr>
                <w:rFonts w:cs="Times New Roman"/>
                <w:sz w:val="18"/>
                <w:szCs w:val="18"/>
              </w:rPr>
              <w:t xml:space="preserve">    2.对不符合许可条件的予以许可或超越职权许可，或者对符合条件的不予许可或不在法定期限内许可的；</w:t>
            </w:r>
            <w:r>
              <w:rPr>
                <w:rFonts w:cs="Times New Roman"/>
                <w:sz w:val="18"/>
                <w:szCs w:val="18"/>
              </w:rPr>
              <w:br w:type="textWrapping"/>
            </w:r>
            <w:r>
              <w:rPr>
                <w:rFonts w:cs="Times New Roman"/>
                <w:sz w:val="18"/>
                <w:szCs w:val="18"/>
              </w:rPr>
              <w:t xml:space="preserve">    3.违反法定程序审核、审批或不履行法定义务的； </w:t>
            </w:r>
            <w:r>
              <w:rPr>
                <w:rFonts w:cs="Times New Roman"/>
                <w:sz w:val="18"/>
                <w:szCs w:val="18"/>
              </w:rPr>
              <w:br w:type="textWrapping"/>
            </w:r>
            <w:r>
              <w:rPr>
                <w:rFonts w:cs="Times New Roman"/>
                <w:sz w:val="18"/>
                <w:szCs w:val="18"/>
              </w:rPr>
              <w:t xml:space="preserve">    4.徇私舞弊、滥用职权、玩忽职守的；</w:t>
            </w:r>
            <w:r>
              <w:rPr>
                <w:rFonts w:cs="Times New Roman"/>
                <w:sz w:val="18"/>
                <w:szCs w:val="18"/>
              </w:rPr>
              <w:br w:type="textWrapping"/>
            </w:r>
            <w:r>
              <w:rPr>
                <w:rFonts w:cs="Times New Roman"/>
                <w:sz w:val="18"/>
                <w:szCs w:val="18"/>
              </w:rPr>
              <w:t xml:space="preserve">    5.利用职务上的便利，索取他人财物，为他人谋取利益的； </w:t>
            </w:r>
            <w:r>
              <w:rPr>
                <w:rFonts w:cs="Times New Roman"/>
                <w:sz w:val="18"/>
                <w:szCs w:val="18"/>
              </w:rPr>
              <w:br w:type="textWrapping"/>
            </w:r>
            <w:r>
              <w:rPr>
                <w:rFonts w:cs="Times New Roman"/>
                <w:sz w:val="18"/>
                <w:szCs w:val="18"/>
              </w:rPr>
              <w:t xml:space="preserve">    6.其他违反法律法规规章文件规定的行为。</w:t>
            </w:r>
          </w:p>
        </w:tc>
        <w:tc>
          <w:tcPr>
            <w:tcW w:w="5942"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 </w:t>
            </w:r>
            <w:r>
              <w:rPr>
                <w:rFonts w:cs="Times New Roman"/>
                <w:sz w:val="18"/>
                <w:szCs w:val="18"/>
              </w:rPr>
              <w:br w:type="textWrapping"/>
            </w:r>
            <w:r>
              <w:rPr>
                <w:rFonts w:cs="Times New Roman"/>
                <w:sz w:val="18"/>
                <w:szCs w:val="18"/>
              </w:rPr>
              <w:t xml:space="preserve">    2.【法律】《中华人民共和国行政许可法》（2003年8月27日主席令第七号公布）第七十四条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cs="Times New Roman"/>
                <w:sz w:val="18"/>
                <w:szCs w:val="18"/>
              </w:rPr>
              <w:br w:type="textWrapping"/>
            </w:r>
            <w:r>
              <w:rPr>
                <w:rFonts w:cs="Times New Roman"/>
                <w:sz w:val="18"/>
                <w:szCs w:val="18"/>
              </w:rPr>
              <w:t xml:space="preserve">    3-1.同1.</w:t>
            </w:r>
            <w:r>
              <w:rPr>
                <w:rFonts w:cs="Times New Roman"/>
                <w:sz w:val="18"/>
                <w:szCs w:val="18"/>
              </w:rPr>
              <w:br w:type="textWrapping"/>
            </w:r>
            <w:r>
              <w:rPr>
                <w:rFonts w:cs="Times New Roman"/>
                <w:sz w:val="18"/>
                <w:szCs w:val="18"/>
              </w:rPr>
              <w:t xml:space="preserve">    3-2.同2.</w:t>
            </w:r>
            <w:r>
              <w:rPr>
                <w:rFonts w:cs="Times New Roman"/>
                <w:sz w:val="18"/>
                <w:szCs w:val="18"/>
              </w:rPr>
              <w:br w:type="textWrapping"/>
            </w:r>
            <w:r>
              <w:rPr>
                <w:rFonts w:cs="Times New Roman"/>
                <w:sz w:val="18"/>
                <w:szCs w:val="18"/>
              </w:rPr>
              <w:t xml:space="preserve">    4.【法律】《中华人民共和国森林法》（1984年9月20日主席令第十七号公布，2009年8月27日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 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5.【法律】《中华人民共和国行政许可法》（2003年8月27日主席令第七号公布）第七十三条 行政机关工作人员办理行政许可、实施监督检查，索取或者收受他人财物或者谋取其他利益，构成犯罪的，依法追究刑事责任；尚不构成犯罪的，依法给予行政处分。</w:t>
            </w:r>
          </w:p>
        </w:tc>
        <w:tc>
          <w:tcPr>
            <w:tcW w:w="610" w:type="dxa"/>
            <w:vAlign w:val="center"/>
          </w:tcPr>
          <w:p>
            <w:pPr>
              <w:spacing w:line="240" w:lineRule="exact"/>
              <w:jc w:val="center"/>
              <w:rPr>
                <w:rFonts w:cs="Times New Roman"/>
                <w:sz w:val="18"/>
                <w:szCs w:val="18"/>
              </w:rPr>
            </w:pPr>
          </w:p>
        </w:tc>
      </w:tr>
    </w:tbl>
    <w:p>
      <w:pPr>
        <w:rPr>
          <w:rFonts w:cs="Times New Roman"/>
          <w:sz w:val="18"/>
          <w:szCs w:val="18"/>
        </w:rPr>
      </w:pPr>
    </w:p>
    <w:tbl>
      <w:tblPr>
        <w:tblStyle w:val="7"/>
        <w:tblpPr w:leftFromText="180" w:rightFromText="180" w:vertAnchor="text" w:horzAnchor="page" w:tblpX="1025" w:tblpY="220"/>
        <w:tblOverlap w:val="never"/>
        <w:tblW w:w="22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1028"/>
        <w:gridCol w:w="809"/>
        <w:gridCol w:w="758"/>
        <w:gridCol w:w="3002"/>
        <w:gridCol w:w="3095"/>
        <w:gridCol w:w="5965"/>
        <w:gridCol w:w="1560"/>
        <w:gridCol w:w="4114"/>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057" w:type="dxa"/>
            <w:vAlign w:val="center"/>
          </w:tcPr>
          <w:p>
            <w:pPr>
              <w:spacing w:line="280" w:lineRule="exact"/>
              <w:jc w:val="center"/>
              <w:rPr>
                <w:rFonts w:cs="Times New Roman"/>
                <w:sz w:val="18"/>
                <w:szCs w:val="18"/>
              </w:rPr>
            </w:pPr>
            <w:r>
              <w:rPr>
                <w:rFonts w:cs="Times New Roman"/>
                <w:sz w:val="18"/>
                <w:szCs w:val="18"/>
              </w:rPr>
              <w:t>序号</w:t>
            </w:r>
          </w:p>
        </w:tc>
        <w:tc>
          <w:tcPr>
            <w:tcW w:w="1028" w:type="dxa"/>
            <w:vAlign w:val="center"/>
          </w:tcPr>
          <w:p>
            <w:pPr>
              <w:spacing w:line="280" w:lineRule="exact"/>
              <w:jc w:val="center"/>
              <w:rPr>
                <w:rFonts w:cs="Times New Roman"/>
                <w:sz w:val="18"/>
                <w:szCs w:val="18"/>
              </w:rPr>
            </w:pPr>
            <w:r>
              <w:rPr>
                <w:rFonts w:cs="Times New Roman"/>
                <w:sz w:val="18"/>
                <w:szCs w:val="18"/>
              </w:rPr>
              <w:t>权力分类</w:t>
            </w:r>
          </w:p>
        </w:tc>
        <w:tc>
          <w:tcPr>
            <w:tcW w:w="809" w:type="dxa"/>
            <w:vAlign w:val="center"/>
          </w:tcPr>
          <w:p>
            <w:pPr>
              <w:spacing w:line="280" w:lineRule="exact"/>
              <w:jc w:val="center"/>
              <w:rPr>
                <w:rFonts w:cs="Times New Roman"/>
                <w:sz w:val="18"/>
                <w:szCs w:val="18"/>
              </w:rPr>
            </w:pPr>
            <w:r>
              <w:rPr>
                <w:rFonts w:cs="Times New Roman"/>
                <w:sz w:val="18"/>
                <w:szCs w:val="18"/>
              </w:rPr>
              <w:t>项目名称</w:t>
            </w:r>
          </w:p>
        </w:tc>
        <w:tc>
          <w:tcPr>
            <w:tcW w:w="758" w:type="dxa"/>
            <w:vAlign w:val="center"/>
          </w:tcPr>
          <w:p>
            <w:pPr>
              <w:spacing w:line="280" w:lineRule="exact"/>
              <w:jc w:val="center"/>
              <w:rPr>
                <w:rFonts w:cs="Times New Roman"/>
                <w:sz w:val="18"/>
                <w:szCs w:val="18"/>
              </w:rPr>
            </w:pPr>
            <w:r>
              <w:rPr>
                <w:rFonts w:cs="Times New Roman"/>
                <w:sz w:val="18"/>
                <w:szCs w:val="18"/>
              </w:rPr>
              <w:t>子项</w:t>
            </w:r>
          </w:p>
        </w:tc>
        <w:tc>
          <w:tcPr>
            <w:tcW w:w="3002" w:type="dxa"/>
            <w:vAlign w:val="center"/>
          </w:tcPr>
          <w:p>
            <w:pPr>
              <w:spacing w:line="280" w:lineRule="exact"/>
              <w:jc w:val="center"/>
              <w:rPr>
                <w:rFonts w:cs="Times New Roman"/>
                <w:sz w:val="18"/>
                <w:szCs w:val="18"/>
              </w:rPr>
            </w:pPr>
            <w:r>
              <w:rPr>
                <w:rFonts w:cs="Times New Roman"/>
                <w:sz w:val="18"/>
                <w:szCs w:val="18"/>
              </w:rPr>
              <w:t>实施依据</w:t>
            </w:r>
          </w:p>
        </w:tc>
        <w:tc>
          <w:tcPr>
            <w:tcW w:w="3095" w:type="dxa"/>
            <w:vAlign w:val="center"/>
          </w:tcPr>
          <w:p>
            <w:pPr>
              <w:spacing w:line="280" w:lineRule="exact"/>
              <w:jc w:val="center"/>
              <w:rPr>
                <w:rFonts w:cs="Times New Roman"/>
                <w:sz w:val="18"/>
                <w:szCs w:val="18"/>
              </w:rPr>
            </w:pPr>
            <w:r>
              <w:rPr>
                <w:rFonts w:cs="Times New Roman"/>
                <w:sz w:val="18"/>
                <w:szCs w:val="18"/>
              </w:rPr>
              <w:t>责任事项</w:t>
            </w:r>
          </w:p>
        </w:tc>
        <w:tc>
          <w:tcPr>
            <w:tcW w:w="5965" w:type="dxa"/>
            <w:vAlign w:val="center"/>
          </w:tcPr>
          <w:p>
            <w:pPr>
              <w:spacing w:line="280" w:lineRule="exact"/>
              <w:jc w:val="center"/>
              <w:rPr>
                <w:rFonts w:cs="Times New Roman"/>
                <w:sz w:val="18"/>
                <w:szCs w:val="18"/>
              </w:rPr>
            </w:pPr>
            <w:r>
              <w:rPr>
                <w:rFonts w:cs="Times New Roman"/>
                <w:sz w:val="18"/>
                <w:szCs w:val="18"/>
              </w:rPr>
              <w:t>责任事项依据</w:t>
            </w:r>
          </w:p>
        </w:tc>
        <w:tc>
          <w:tcPr>
            <w:tcW w:w="1560" w:type="dxa"/>
            <w:vAlign w:val="center"/>
          </w:tcPr>
          <w:p>
            <w:pPr>
              <w:spacing w:line="280" w:lineRule="exact"/>
              <w:jc w:val="center"/>
              <w:rPr>
                <w:rFonts w:cs="Times New Roman"/>
                <w:sz w:val="18"/>
                <w:szCs w:val="18"/>
              </w:rPr>
            </w:pPr>
            <w:r>
              <w:rPr>
                <w:rFonts w:cs="Times New Roman"/>
                <w:sz w:val="18"/>
                <w:szCs w:val="18"/>
              </w:rPr>
              <w:t>追责情形</w:t>
            </w:r>
          </w:p>
        </w:tc>
        <w:tc>
          <w:tcPr>
            <w:tcW w:w="4114"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8" w:hRule="atLeast"/>
        </w:trPr>
        <w:tc>
          <w:tcPr>
            <w:tcW w:w="1057" w:type="dxa"/>
            <w:vAlign w:val="center"/>
          </w:tcPr>
          <w:p>
            <w:pPr>
              <w:spacing w:line="240" w:lineRule="exact"/>
              <w:jc w:val="center"/>
              <w:rPr>
                <w:rFonts w:cs="Times New Roman"/>
                <w:sz w:val="18"/>
                <w:szCs w:val="18"/>
              </w:rPr>
            </w:pPr>
            <w:r>
              <w:rPr>
                <w:rFonts w:cs="Times New Roman"/>
                <w:sz w:val="18"/>
                <w:szCs w:val="18"/>
              </w:rPr>
              <w:t>1</w:t>
            </w:r>
            <w:r>
              <w:rPr>
                <w:rFonts w:hint="eastAsia" w:cs="Times New Roman"/>
                <w:sz w:val="18"/>
                <w:szCs w:val="18"/>
              </w:rPr>
              <w:t>2</w:t>
            </w:r>
          </w:p>
        </w:tc>
        <w:tc>
          <w:tcPr>
            <w:tcW w:w="1028"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09" w:type="dxa"/>
            <w:vAlign w:val="center"/>
          </w:tcPr>
          <w:p>
            <w:pPr>
              <w:spacing w:line="240" w:lineRule="exact"/>
              <w:rPr>
                <w:rFonts w:cs="Times New Roman"/>
                <w:sz w:val="18"/>
                <w:szCs w:val="18"/>
              </w:rPr>
            </w:pPr>
            <w:r>
              <w:rPr>
                <w:rFonts w:cs="Times New Roman"/>
                <w:sz w:val="18"/>
                <w:szCs w:val="18"/>
              </w:rPr>
              <w:t>对盗伐</w:t>
            </w:r>
            <w:r>
              <w:rPr>
                <w:rFonts w:hint="eastAsia" w:cs="Times New Roman"/>
                <w:sz w:val="18"/>
                <w:szCs w:val="18"/>
              </w:rPr>
              <w:t>、滥伐</w:t>
            </w:r>
            <w:r>
              <w:rPr>
                <w:rFonts w:cs="Times New Roman"/>
                <w:sz w:val="18"/>
                <w:szCs w:val="18"/>
              </w:rPr>
              <w:t>森林或者其他林木的处罚</w:t>
            </w:r>
          </w:p>
        </w:tc>
        <w:tc>
          <w:tcPr>
            <w:tcW w:w="758" w:type="dxa"/>
            <w:vAlign w:val="center"/>
          </w:tcPr>
          <w:p>
            <w:pPr>
              <w:spacing w:line="240" w:lineRule="exact"/>
              <w:rPr>
                <w:rFonts w:cs="Times New Roman"/>
                <w:sz w:val="18"/>
                <w:szCs w:val="18"/>
              </w:rPr>
            </w:pPr>
            <w:r>
              <w:rPr>
                <w:rFonts w:cs="Times New Roman"/>
                <w:sz w:val="18"/>
                <w:szCs w:val="18"/>
              </w:rPr>
              <w:t>　</w:t>
            </w:r>
          </w:p>
        </w:tc>
        <w:tc>
          <w:tcPr>
            <w:tcW w:w="3002" w:type="dxa"/>
            <w:vAlign w:val="center"/>
          </w:tcPr>
          <w:p>
            <w:pPr>
              <w:spacing w:line="240" w:lineRule="exact"/>
              <w:ind w:firstLine="270" w:firstLineChars="150"/>
              <w:rPr>
                <w:rFonts w:cs="Times New Roman"/>
                <w:sz w:val="18"/>
                <w:szCs w:val="18"/>
              </w:rPr>
            </w:pPr>
            <w:r>
              <w:rPr>
                <w:rFonts w:cs="Times New Roman"/>
                <w:sz w:val="18"/>
                <w:szCs w:val="18"/>
              </w:rPr>
              <w:t>【法律】《中华人民共和国森林法》（1984年9月20日主席令第十七号公布，2009年8月27日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修改)第三十九条盗伐森林或者其他林木的，依法赔偿损失；由林业主管部门责令补种盗伐株数十倍的树木，没收盗伐的林木或者变卖所得，并处盗伐林木价值三倍以上十倍以下的罚款。</w:t>
            </w:r>
            <w:r>
              <w:rPr>
                <w:rFonts w:hint="eastAsia" w:cs="Times New Roman"/>
                <w:sz w:val="18"/>
                <w:szCs w:val="18"/>
              </w:rPr>
              <w:t>滥发森林或者其他林木，由林业主管部门责令补种滥伐株数五倍的树木，并处滥伐林木价值二倍以上五倍以下的罚款。</w:t>
            </w:r>
            <w:r>
              <w:rPr>
                <w:rFonts w:cs="Times New Roman"/>
                <w:sz w:val="18"/>
                <w:szCs w:val="18"/>
              </w:rPr>
              <w:t>拒不补种树木或者补种不符合国家有关规定的，由林业主管部门代为补种，所需费用由违法者支付。盗伐、滥伐森林或者其他林木，构成犯罪的，依法追究刑事责任。</w:t>
            </w:r>
            <w:r>
              <w:rPr>
                <w:rFonts w:cs="Times New Roman"/>
                <w:sz w:val="18"/>
                <w:szCs w:val="18"/>
              </w:rPr>
              <w:br w:type="textWrapping"/>
            </w:r>
            <w:r>
              <w:rPr>
                <w:rFonts w:cs="Times New Roman"/>
                <w:sz w:val="18"/>
                <w:szCs w:val="18"/>
              </w:rPr>
              <w:t>【法规】《中华人民共和国森林法实施条例》(2000年1月29日国务院令第278号发布，2016年2月6日国务院令第666号第二次修订）</w:t>
            </w:r>
            <w:r>
              <w:rPr>
                <w:rFonts w:hint="eastAsia" w:cs="Times New Roman"/>
                <w:sz w:val="18"/>
                <w:szCs w:val="18"/>
              </w:rPr>
              <w:t xml:space="preserve">第三十八条 盗伐森林或者其他林木，以立木材积计算不足0．5立方米或者幼树不足20株的，由县级以上人民政府林业主管部门责令补种盗伐株数10倍的树木，没收盗伐的林木或者变卖所得，并处盗伐林木价值3倍至5倍的罚款。盗伐森林或者其他林木，以立木材积计算0.5立方米以上或者幼树20株以上的，由县级以上人民政府林业主管部门责令补种盗伐株数10倍的树木，没收盗伐的林木或者变卖所得，并处盗伐林木价值5倍至10倍的罚款。第三十九条 滥伐森林或者其他林木，以立木材积计算不足2立方米或者幼树不足50株的，由县级以上人民政府林业主管部门责令补种滥伐株数5倍的树木，并处滥伐林木价值2倍至3倍的罚款。滥伐森林或者其他林木，以立木材积计算2立方米以上或者幼树50株以上的，由县级以上人民政府林业主管部门责令补种滥伐株数5倍的树木，并处滥伐林木价值3倍至5倍的罚款。超过木材生产计划采伐森林或者其他林木的，依照前两款规定处罚。 </w:t>
            </w:r>
            <w:r>
              <w:rPr>
                <w:rFonts w:hint="eastAsia" w:cs="Times New Roman"/>
                <w:sz w:val="18"/>
                <w:szCs w:val="18"/>
              </w:rPr>
              <w:br w:type="textWrapping"/>
            </w:r>
          </w:p>
        </w:tc>
        <w:tc>
          <w:tcPr>
            <w:tcW w:w="3095"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 xml:space="preserve"> 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5965"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11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2" w:type="dxa"/>
            <w:vAlign w:val="center"/>
          </w:tcPr>
          <w:p>
            <w:pPr>
              <w:spacing w:line="240" w:lineRule="exact"/>
              <w:jc w:val="center"/>
              <w:rPr>
                <w:rFonts w:cs="Times New Roman"/>
                <w:sz w:val="18"/>
                <w:szCs w:val="18"/>
              </w:rPr>
            </w:pPr>
          </w:p>
        </w:tc>
      </w:tr>
    </w:tbl>
    <w:p>
      <w:pPr>
        <w:rPr>
          <w:rFonts w:cs="Times New Roman"/>
          <w:sz w:val="18"/>
          <w:szCs w:val="18"/>
        </w:rPr>
      </w:pPr>
    </w:p>
    <w:p>
      <w:pPr>
        <w:rPr>
          <w:rFonts w:cs="Times New Roman"/>
          <w:sz w:val="18"/>
          <w:szCs w:val="18"/>
        </w:rPr>
      </w:pPr>
    </w:p>
    <w:p>
      <w:pPr>
        <w:rPr>
          <w:rFonts w:cs="Times New Roman"/>
          <w:sz w:val="18"/>
          <w:szCs w:val="18"/>
        </w:rPr>
      </w:pPr>
    </w:p>
    <w:p>
      <w:pPr>
        <w:rPr>
          <w:rFonts w:cs="Times New Roman"/>
          <w:sz w:val="18"/>
          <w:szCs w:val="18"/>
        </w:rPr>
      </w:pPr>
    </w:p>
    <w:p>
      <w:pPr>
        <w:rPr>
          <w:rFonts w:cs="Times New Roman"/>
          <w:sz w:val="18"/>
          <w:szCs w:val="18"/>
        </w:rPr>
      </w:pPr>
    </w:p>
    <w:tbl>
      <w:tblPr>
        <w:tblStyle w:val="7"/>
        <w:tblpPr w:leftFromText="180" w:rightFromText="180" w:vertAnchor="text" w:horzAnchor="margin" w:tblpY="93"/>
        <w:tblOverlap w:val="never"/>
        <w:tblW w:w="22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1026"/>
        <w:gridCol w:w="797"/>
        <w:gridCol w:w="817"/>
        <w:gridCol w:w="2031"/>
        <w:gridCol w:w="2203"/>
        <w:gridCol w:w="7214"/>
        <w:gridCol w:w="1561"/>
        <w:gridCol w:w="4681"/>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58" w:type="dxa"/>
            <w:vAlign w:val="center"/>
          </w:tcPr>
          <w:p>
            <w:pPr>
              <w:spacing w:line="280" w:lineRule="exact"/>
              <w:jc w:val="center"/>
              <w:rPr>
                <w:rFonts w:cs="Times New Roman"/>
                <w:sz w:val="18"/>
                <w:szCs w:val="18"/>
              </w:rPr>
            </w:pPr>
            <w:r>
              <w:rPr>
                <w:rFonts w:cs="Times New Roman"/>
                <w:sz w:val="18"/>
                <w:szCs w:val="18"/>
              </w:rPr>
              <w:t>序号</w:t>
            </w:r>
          </w:p>
        </w:tc>
        <w:tc>
          <w:tcPr>
            <w:tcW w:w="1026" w:type="dxa"/>
            <w:vAlign w:val="center"/>
          </w:tcPr>
          <w:p>
            <w:pPr>
              <w:spacing w:line="280" w:lineRule="exact"/>
              <w:jc w:val="center"/>
              <w:rPr>
                <w:rFonts w:cs="Times New Roman"/>
                <w:sz w:val="18"/>
                <w:szCs w:val="18"/>
              </w:rPr>
            </w:pPr>
            <w:r>
              <w:rPr>
                <w:rFonts w:cs="Times New Roman"/>
                <w:sz w:val="18"/>
                <w:szCs w:val="18"/>
              </w:rPr>
              <w:t>权力分类</w:t>
            </w:r>
          </w:p>
        </w:tc>
        <w:tc>
          <w:tcPr>
            <w:tcW w:w="797" w:type="dxa"/>
            <w:vAlign w:val="center"/>
          </w:tcPr>
          <w:p>
            <w:pPr>
              <w:spacing w:line="280" w:lineRule="exact"/>
              <w:jc w:val="center"/>
              <w:rPr>
                <w:rFonts w:cs="Times New Roman"/>
                <w:sz w:val="18"/>
                <w:szCs w:val="18"/>
              </w:rPr>
            </w:pPr>
            <w:r>
              <w:rPr>
                <w:rFonts w:cs="Times New Roman"/>
                <w:sz w:val="18"/>
                <w:szCs w:val="18"/>
              </w:rPr>
              <w:t>项目名称</w:t>
            </w:r>
          </w:p>
        </w:tc>
        <w:tc>
          <w:tcPr>
            <w:tcW w:w="817" w:type="dxa"/>
            <w:vAlign w:val="center"/>
          </w:tcPr>
          <w:p>
            <w:pPr>
              <w:spacing w:line="280" w:lineRule="exact"/>
              <w:jc w:val="center"/>
              <w:rPr>
                <w:rFonts w:cs="Times New Roman"/>
                <w:sz w:val="18"/>
                <w:szCs w:val="18"/>
              </w:rPr>
            </w:pPr>
            <w:r>
              <w:rPr>
                <w:rFonts w:cs="Times New Roman"/>
                <w:sz w:val="18"/>
                <w:szCs w:val="18"/>
              </w:rPr>
              <w:t>子项</w:t>
            </w:r>
          </w:p>
        </w:tc>
        <w:tc>
          <w:tcPr>
            <w:tcW w:w="2031" w:type="dxa"/>
            <w:vAlign w:val="center"/>
          </w:tcPr>
          <w:p>
            <w:pPr>
              <w:spacing w:line="280" w:lineRule="exact"/>
              <w:jc w:val="center"/>
              <w:rPr>
                <w:rFonts w:cs="Times New Roman"/>
                <w:sz w:val="18"/>
                <w:szCs w:val="18"/>
              </w:rPr>
            </w:pPr>
            <w:r>
              <w:rPr>
                <w:rFonts w:cs="Times New Roman"/>
                <w:sz w:val="18"/>
                <w:szCs w:val="18"/>
              </w:rPr>
              <w:t>实施依据</w:t>
            </w:r>
          </w:p>
        </w:tc>
        <w:tc>
          <w:tcPr>
            <w:tcW w:w="2203" w:type="dxa"/>
            <w:vAlign w:val="center"/>
          </w:tcPr>
          <w:p>
            <w:pPr>
              <w:spacing w:line="280" w:lineRule="exact"/>
              <w:jc w:val="center"/>
              <w:rPr>
                <w:rFonts w:cs="Times New Roman"/>
                <w:sz w:val="18"/>
                <w:szCs w:val="18"/>
              </w:rPr>
            </w:pPr>
            <w:r>
              <w:rPr>
                <w:rFonts w:cs="Times New Roman"/>
                <w:sz w:val="18"/>
                <w:szCs w:val="18"/>
              </w:rPr>
              <w:t>责任事项</w:t>
            </w:r>
          </w:p>
        </w:tc>
        <w:tc>
          <w:tcPr>
            <w:tcW w:w="7214" w:type="dxa"/>
            <w:vAlign w:val="center"/>
          </w:tcPr>
          <w:p>
            <w:pPr>
              <w:spacing w:line="280" w:lineRule="exact"/>
              <w:jc w:val="center"/>
              <w:rPr>
                <w:rFonts w:cs="Times New Roman"/>
                <w:sz w:val="18"/>
                <w:szCs w:val="18"/>
              </w:rPr>
            </w:pPr>
            <w:r>
              <w:rPr>
                <w:rFonts w:cs="Times New Roman"/>
                <w:sz w:val="18"/>
                <w:szCs w:val="18"/>
              </w:rPr>
              <w:t>责任事项依据</w:t>
            </w:r>
          </w:p>
        </w:tc>
        <w:tc>
          <w:tcPr>
            <w:tcW w:w="1561" w:type="dxa"/>
            <w:vAlign w:val="center"/>
          </w:tcPr>
          <w:p>
            <w:pPr>
              <w:spacing w:line="280" w:lineRule="exact"/>
              <w:jc w:val="center"/>
              <w:rPr>
                <w:rFonts w:cs="Times New Roman"/>
                <w:sz w:val="18"/>
                <w:szCs w:val="18"/>
              </w:rPr>
            </w:pPr>
            <w:r>
              <w:rPr>
                <w:rFonts w:cs="Times New Roman"/>
                <w:sz w:val="18"/>
                <w:szCs w:val="18"/>
              </w:rPr>
              <w:t>追责情形</w:t>
            </w:r>
          </w:p>
        </w:tc>
        <w:tc>
          <w:tcPr>
            <w:tcW w:w="4681"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2" w:hRule="atLeast"/>
        </w:trPr>
        <w:tc>
          <w:tcPr>
            <w:tcW w:w="1058" w:type="dxa"/>
            <w:vAlign w:val="center"/>
          </w:tcPr>
          <w:p>
            <w:pPr>
              <w:spacing w:line="240" w:lineRule="exact"/>
              <w:jc w:val="center"/>
              <w:rPr>
                <w:rFonts w:cs="Times New Roman"/>
                <w:sz w:val="18"/>
                <w:szCs w:val="18"/>
              </w:rPr>
            </w:pPr>
            <w:r>
              <w:rPr>
                <w:rFonts w:cs="Times New Roman"/>
                <w:sz w:val="18"/>
                <w:szCs w:val="18"/>
              </w:rPr>
              <w:t>1</w:t>
            </w:r>
            <w:r>
              <w:rPr>
                <w:rFonts w:hint="eastAsia" w:cs="Times New Roman"/>
                <w:sz w:val="18"/>
                <w:szCs w:val="18"/>
              </w:rPr>
              <w:t>3</w:t>
            </w:r>
          </w:p>
        </w:tc>
        <w:tc>
          <w:tcPr>
            <w:tcW w:w="1026"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97" w:type="dxa"/>
            <w:vAlign w:val="center"/>
          </w:tcPr>
          <w:p>
            <w:pPr>
              <w:spacing w:line="240" w:lineRule="exact"/>
              <w:rPr>
                <w:rFonts w:cs="Times New Roman"/>
                <w:sz w:val="18"/>
                <w:szCs w:val="18"/>
              </w:rPr>
            </w:pPr>
            <w:r>
              <w:rPr>
                <w:rFonts w:cs="Times New Roman"/>
                <w:sz w:val="18"/>
                <w:szCs w:val="18"/>
              </w:rPr>
              <w:t>对在林区非法收购明知是盗伐、滥伐的林木的处罚</w:t>
            </w:r>
          </w:p>
        </w:tc>
        <w:tc>
          <w:tcPr>
            <w:tcW w:w="817" w:type="dxa"/>
            <w:vAlign w:val="center"/>
          </w:tcPr>
          <w:p>
            <w:pPr>
              <w:spacing w:line="240" w:lineRule="exact"/>
              <w:rPr>
                <w:rFonts w:cs="Times New Roman"/>
                <w:sz w:val="18"/>
                <w:szCs w:val="18"/>
              </w:rPr>
            </w:pPr>
            <w:r>
              <w:rPr>
                <w:rFonts w:cs="Times New Roman"/>
                <w:sz w:val="18"/>
                <w:szCs w:val="18"/>
              </w:rPr>
              <w:t>　</w:t>
            </w:r>
          </w:p>
        </w:tc>
        <w:tc>
          <w:tcPr>
            <w:tcW w:w="2031" w:type="dxa"/>
            <w:vAlign w:val="center"/>
          </w:tcPr>
          <w:p>
            <w:pPr>
              <w:spacing w:line="240" w:lineRule="exact"/>
              <w:ind w:firstLine="270" w:firstLineChars="150"/>
              <w:rPr>
                <w:rFonts w:cs="Times New Roman"/>
                <w:sz w:val="18"/>
                <w:szCs w:val="18"/>
              </w:rPr>
            </w:pPr>
            <w:r>
              <w:rPr>
                <w:rFonts w:cs="Times New Roman"/>
                <w:sz w:val="18"/>
                <w:szCs w:val="18"/>
              </w:rPr>
              <w:t>【法律】《中华人民共和国森林法》（1984年9月20日主席令第十七号公布，2009年8月27日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 第四十三条　在林区非法收购明知是盗伐、滥伐的林木的，由林业主管部门责令停止违法行为，没收违法收购的盗伐、滥伐的林木或者变卖所得，可以并处违法收购林木的价款一倍以上三倍以下的罚款；构成犯罪的，依法追究刑事责任。</w:t>
            </w:r>
          </w:p>
        </w:tc>
        <w:tc>
          <w:tcPr>
            <w:tcW w:w="2203"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 xml:space="preserve"> 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214"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81"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2" w:type="dxa"/>
            <w:vAlign w:val="center"/>
          </w:tcPr>
          <w:p>
            <w:pPr>
              <w:spacing w:line="240" w:lineRule="exact"/>
              <w:rPr>
                <w:rFonts w:cs="Times New Roman"/>
                <w:sz w:val="18"/>
                <w:szCs w:val="18"/>
              </w:rPr>
            </w:pPr>
          </w:p>
        </w:tc>
      </w:tr>
    </w:tbl>
    <w:p>
      <w:pPr>
        <w:rPr>
          <w:rFonts w:cs="Times New Roman"/>
          <w:sz w:val="18"/>
          <w:szCs w:val="18"/>
        </w:rPr>
      </w:pPr>
    </w:p>
    <w:p>
      <w:pPr>
        <w:rPr>
          <w:rFonts w:cs="Times New Roman"/>
          <w:sz w:val="18"/>
          <w:szCs w:val="18"/>
        </w:rPr>
      </w:pPr>
    </w:p>
    <w:p>
      <w:pPr>
        <w:rPr>
          <w:rFonts w:cs="Times New Roman"/>
          <w:sz w:val="18"/>
          <w:szCs w:val="18"/>
        </w:rPr>
      </w:pPr>
    </w:p>
    <w:p>
      <w:pPr>
        <w:rPr>
          <w:rFonts w:cs="Times New Roman"/>
          <w:sz w:val="18"/>
          <w:szCs w:val="18"/>
        </w:rPr>
      </w:pPr>
    </w:p>
    <w:tbl>
      <w:tblPr>
        <w:tblStyle w:val="7"/>
        <w:tblpPr w:leftFromText="180" w:rightFromText="180" w:vertAnchor="text" w:horzAnchor="page" w:tblpX="1057" w:tblpY="202"/>
        <w:tblOverlap w:val="never"/>
        <w:tblW w:w="21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1004"/>
        <w:gridCol w:w="795"/>
        <w:gridCol w:w="797"/>
        <w:gridCol w:w="2063"/>
        <w:gridCol w:w="2935"/>
        <w:gridCol w:w="6490"/>
        <w:gridCol w:w="1558"/>
        <w:gridCol w:w="4674"/>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1036" w:type="dxa"/>
            <w:vAlign w:val="center"/>
          </w:tcPr>
          <w:p>
            <w:pPr>
              <w:spacing w:line="280" w:lineRule="exact"/>
              <w:jc w:val="center"/>
              <w:rPr>
                <w:rFonts w:cs="Times New Roman"/>
                <w:sz w:val="18"/>
                <w:szCs w:val="18"/>
              </w:rPr>
            </w:pPr>
            <w:r>
              <w:rPr>
                <w:rFonts w:cs="Times New Roman"/>
                <w:sz w:val="18"/>
                <w:szCs w:val="18"/>
              </w:rPr>
              <w:t>序号</w:t>
            </w:r>
          </w:p>
        </w:tc>
        <w:tc>
          <w:tcPr>
            <w:tcW w:w="1004" w:type="dxa"/>
            <w:vAlign w:val="center"/>
          </w:tcPr>
          <w:p>
            <w:pPr>
              <w:spacing w:line="280" w:lineRule="exact"/>
              <w:jc w:val="center"/>
              <w:rPr>
                <w:rFonts w:cs="Times New Roman"/>
                <w:sz w:val="18"/>
                <w:szCs w:val="18"/>
              </w:rPr>
            </w:pPr>
            <w:r>
              <w:rPr>
                <w:rFonts w:cs="Times New Roman"/>
                <w:sz w:val="18"/>
                <w:szCs w:val="18"/>
              </w:rPr>
              <w:t>权力分类</w:t>
            </w:r>
          </w:p>
        </w:tc>
        <w:tc>
          <w:tcPr>
            <w:tcW w:w="795" w:type="dxa"/>
            <w:vAlign w:val="center"/>
          </w:tcPr>
          <w:p>
            <w:pPr>
              <w:spacing w:line="280" w:lineRule="exact"/>
              <w:jc w:val="center"/>
              <w:rPr>
                <w:rFonts w:cs="Times New Roman"/>
                <w:sz w:val="18"/>
                <w:szCs w:val="18"/>
              </w:rPr>
            </w:pPr>
            <w:r>
              <w:rPr>
                <w:rFonts w:cs="Times New Roman"/>
                <w:sz w:val="18"/>
                <w:szCs w:val="18"/>
              </w:rPr>
              <w:t>项目名称</w:t>
            </w:r>
          </w:p>
        </w:tc>
        <w:tc>
          <w:tcPr>
            <w:tcW w:w="797" w:type="dxa"/>
            <w:vAlign w:val="center"/>
          </w:tcPr>
          <w:p>
            <w:pPr>
              <w:spacing w:line="280" w:lineRule="exact"/>
              <w:jc w:val="center"/>
              <w:rPr>
                <w:rFonts w:cs="Times New Roman"/>
                <w:sz w:val="18"/>
                <w:szCs w:val="18"/>
              </w:rPr>
            </w:pPr>
            <w:r>
              <w:rPr>
                <w:rFonts w:cs="Times New Roman"/>
                <w:sz w:val="18"/>
                <w:szCs w:val="18"/>
              </w:rPr>
              <w:t>子项</w:t>
            </w:r>
          </w:p>
        </w:tc>
        <w:tc>
          <w:tcPr>
            <w:tcW w:w="2063" w:type="dxa"/>
            <w:vAlign w:val="center"/>
          </w:tcPr>
          <w:p>
            <w:pPr>
              <w:spacing w:line="280" w:lineRule="exact"/>
              <w:jc w:val="center"/>
              <w:rPr>
                <w:rFonts w:cs="Times New Roman"/>
                <w:sz w:val="18"/>
                <w:szCs w:val="18"/>
              </w:rPr>
            </w:pPr>
            <w:r>
              <w:rPr>
                <w:rFonts w:cs="Times New Roman"/>
                <w:sz w:val="18"/>
                <w:szCs w:val="18"/>
              </w:rPr>
              <w:t>实施依据</w:t>
            </w:r>
          </w:p>
        </w:tc>
        <w:tc>
          <w:tcPr>
            <w:tcW w:w="2935" w:type="dxa"/>
            <w:vAlign w:val="center"/>
          </w:tcPr>
          <w:p>
            <w:pPr>
              <w:spacing w:line="280" w:lineRule="exact"/>
              <w:jc w:val="center"/>
              <w:rPr>
                <w:rFonts w:cs="Times New Roman"/>
                <w:sz w:val="18"/>
                <w:szCs w:val="18"/>
              </w:rPr>
            </w:pPr>
            <w:r>
              <w:rPr>
                <w:rFonts w:cs="Times New Roman"/>
                <w:sz w:val="18"/>
                <w:szCs w:val="18"/>
              </w:rPr>
              <w:t>责任事项</w:t>
            </w:r>
          </w:p>
        </w:tc>
        <w:tc>
          <w:tcPr>
            <w:tcW w:w="6490" w:type="dxa"/>
            <w:vAlign w:val="center"/>
          </w:tcPr>
          <w:p>
            <w:pPr>
              <w:spacing w:line="280" w:lineRule="exact"/>
              <w:jc w:val="center"/>
              <w:rPr>
                <w:rFonts w:cs="Times New Roman"/>
                <w:sz w:val="18"/>
                <w:szCs w:val="18"/>
              </w:rPr>
            </w:pPr>
            <w:r>
              <w:rPr>
                <w:rFonts w:cs="Times New Roman"/>
                <w:sz w:val="18"/>
                <w:szCs w:val="18"/>
              </w:rPr>
              <w:t>责任事项依据</w:t>
            </w:r>
          </w:p>
        </w:tc>
        <w:tc>
          <w:tcPr>
            <w:tcW w:w="1558" w:type="dxa"/>
            <w:vAlign w:val="center"/>
          </w:tcPr>
          <w:p>
            <w:pPr>
              <w:spacing w:line="280" w:lineRule="exact"/>
              <w:jc w:val="center"/>
              <w:rPr>
                <w:rFonts w:cs="Times New Roman"/>
                <w:sz w:val="18"/>
                <w:szCs w:val="18"/>
              </w:rPr>
            </w:pPr>
            <w:r>
              <w:rPr>
                <w:rFonts w:cs="Times New Roman"/>
                <w:sz w:val="18"/>
                <w:szCs w:val="18"/>
              </w:rPr>
              <w:t>追责情形</w:t>
            </w:r>
          </w:p>
        </w:tc>
        <w:tc>
          <w:tcPr>
            <w:tcW w:w="4674"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5" w:hRule="atLeast"/>
        </w:trPr>
        <w:tc>
          <w:tcPr>
            <w:tcW w:w="1036" w:type="dxa"/>
            <w:vAlign w:val="center"/>
          </w:tcPr>
          <w:p>
            <w:pPr>
              <w:spacing w:line="240" w:lineRule="exact"/>
              <w:jc w:val="center"/>
              <w:rPr>
                <w:rFonts w:cs="Times New Roman"/>
                <w:sz w:val="18"/>
                <w:szCs w:val="18"/>
              </w:rPr>
            </w:pPr>
            <w:r>
              <w:rPr>
                <w:rFonts w:cs="Times New Roman"/>
                <w:sz w:val="18"/>
                <w:szCs w:val="18"/>
              </w:rPr>
              <w:t>1</w:t>
            </w:r>
            <w:r>
              <w:rPr>
                <w:rFonts w:hint="eastAsia" w:cs="Times New Roman"/>
                <w:sz w:val="18"/>
                <w:szCs w:val="18"/>
              </w:rPr>
              <w:t>4</w:t>
            </w:r>
          </w:p>
        </w:tc>
        <w:tc>
          <w:tcPr>
            <w:tcW w:w="1004"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95" w:type="dxa"/>
            <w:vAlign w:val="center"/>
          </w:tcPr>
          <w:p>
            <w:pPr>
              <w:spacing w:line="240" w:lineRule="exact"/>
              <w:rPr>
                <w:rFonts w:cs="Times New Roman"/>
                <w:sz w:val="18"/>
                <w:szCs w:val="18"/>
              </w:rPr>
            </w:pPr>
            <w:r>
              <w:rPr>
                <w:rFonts w:cs="Times New Roman"/>
                <w:sz w:val="18"/>
                <w:szCs w:val="18"/>
              </w:rPr>
              <w:t>对买卖林木采伐许可证、木材运输证件、批准出口文件、允许进出口证明书的处罚</w:t>
            </w:r>
          </w:p>
        </w:tc>
        <w:tc>
          <w:tcPr>
            <w:tcW w:w="797" w:type="dxa"/>
            <w:vAlign w:val="center"/>
          </w:tcPr>
          <w:p>
            <w:pPr>
              <w:spacing w:line="240" w:lineRule="exact"/>
              <w:rPr>
                <w:rFonts w:cs="Times New Roman"/>
                <w:sz w:val="18"/>
                <w:szCs w:val="18"/>
              </w:rPr>
            </w:pPr>
            <w:r>
              <w:rPr>
                <w:rFonts w:cs="Times New Roman"/>
                <w:sz w:val="18"/>
                <w:szCs w:val="18"/>
              </w:rPr>
              <w:t>　</w:t>
            </w:r>
          </w:p>
        </w:tc>
        <w:tc>
          <w:tcPr>
            <w:tcW w:w="2063" w:type="dxa"/>
            <w:vAlign w:val="center"/>
          </w:tcPr>
          <w:p>
            <w:pPr>
              <w:spacing w:line="240" w:lineRule="exact"/>
              <w:ind w:firstLine="270" w:firstLineChars="150"/>
              <w:rPr>
                <w:rFonts w:cs="Times New Roman"/>
                <w:sz w:val="18"/>
                <w:szCs w:val="18"/>
              </w:rPr>
            </w:pPr>
            <w:r>
              <w:rPr>
                <w:rFonts w:cs="Times New Roman"/>
                <w:sz w:val="18"/>
                <w:szCs w:val="18"/>
              </w:rPr>
              <w:t>【法律】《中华人民共和国森林法》（1984年9月20日主席令第十七号公布，2009年8月27日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 第四十二条　违反本法规定，买卖林木采伐许可证、木材运输证件、批准出口文件、允许进出口证明书的，由林业主管部门没收违法买卖的证件、文件和违法所得，并处违法买卖证件、文件的价款一倍以上三倍以下的罚款；构成犯罪的，依法追究刑事责任。伪造林木采伐许可证、木材运输证件、批准出口文件、允许进出口证明书的，依法追究刑事责任。</w:t>
            </w:r>
          </w:p>
        </w:tc>
        <w:tc>
          <w:tcPr>
            <w:tcW w:w="2935"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 xml:space="preserve"> 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490"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8"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tbl>
      <w:tblPr>
        <w:tblStyle w:val="7"/>
        <w:tblpPr w:leftFromText="180" w:rightFromText="180" w:vertAnchor="text" w:horzAnchor="page" w:tblpX="1076" w:tblpY="122"/>
        <w:tblOverlap w:val="never"/>
        <w:tblW w:w="22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007"/>
        <w:gridCol w:w="854"/>
        <w:gridCol w:w="798"/>
        <w:gridCol w:w="2430"/>
        <w:gridCol w:w="2753"/>
        <w:gridCol w:w="6610"/>
        <w:gridCol w:w="1565"/>
        <w:gridCol w:w="4410"/>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1020" w:type="dxa"/>
            <w:vAlign w:val="center"/>
          </w:tcPr>
          <w:p>
            <w:pPr>
              <w:spacing w:line="280" w:lineRule="exact"/>
              <w:jc w:val="center"/>
              <w:rPr>
                <w:rFonts w:cs="Times New Roman"/>
                <w:sz w:val="18"/>
                <w:szCs w:val="18"/>
              </w:rPr>
            </w:pPr>
            <w:r>
              <w:rPr>
                <w:rFonts w:cs="Times New Roman"/>
                <w:sz w:val="18"/>
                <w:szCs w:val="18"/>
              </w:rPr>
              <w:t>序号</w:t>
            </w:r>
          </w:p>
        </w:tc>
        <w:tc>
          <w:tcPr>
            <w:tcW w:w="1007" w:type="dxa"/>
            <w:vAlign w:val="center"/>
          </w:tcPr>
          <w:p>
            <w:pPr>
              <w:spacing w:line="280" w:lineRule="exact"/>
              <w:jc w:val="center"/>
              <w:rPr>
                <w:rFonts w:cs="Times New Roman"/>
                <w:sz w:val="18"/>
                <w:szCs w:val="18"/>
              </w:rPr>
            </w:pPr>
            <w:r>
              <w:rPr>
                <w:rFonts w:cs="Times New Roman"/>
                <w:sz w:val="18"/>
                <w:szCs w:val="18"/>
              </w:rPr>
              <w:t>权力分类</w:t>
            </w:r>
          </w:p>
        </w:tc>
        <w:tc>
          <w:tcPr>
            <w:tcW w:w="854" w:type="dxa"/>
            <w:vAlign w:val="center"/>
          </w:tcPr>
          <w:p>
            <w:pPr>
              <w:spacing w:line="280" w:lineRule="exact"/>
              <w:jc w:val="center"/>
              <w:rPr>
                <w:rFonts w:cs="Times New Roman"/>
                <w:sz w:val="18"/>
                <w:szCs w:val="18"/>
              </w:rPr>
            </w:pPr>
            <w:r>
              <w:rPr>
                <w:rFonts w:cs="Times New Roman"/>
                <w:sz w:val="18"/>
                <w:szCs w:val="18"/>
              </w:rPr>
              <w:t>项目名称</w:t>
            </w:r>
          </w:p>
        </w:tc>
        <w:tc>
          <w:tcPr>
            <w:tcW w:w="798" w:type="dxa"/>
            <w:vAlign w:val="center"/>
          </w:tcPr>
          <w:p>
            <w:pPr>
              <w:spacing w:line="280" w:lineRule="exact"/>
              <w:jc w:val="center"/>
              <w:rPr>
                <w:rFonts w:cs="Times New Roman"/>
                <w:sz w:val="18"/>
                <w:szCs w:val="18"/>
              </w:rPr>
            </w:pPr>
            <w:r>
              <w:rPr>
                <w:rFonts w:cs="Times New Roman"/>
                <w:sz w:val="18"/>
                <w:szCs w:val="18"/>
              </w:rPr>
              <w:t>子项</w:t>
            </w:r>
          </w:p>
        </w:tc>
        <w:tc>
          <w:tcPr>
            <w:tcW w:w="2430" w:type="dxa"/>
            <w:vAlign w:val="center"/>
          </w:tcPr>
          <w:p>
            <w:pPr>
              <w:spacing w:line="280" w:lineRule="exact"/>
              <w:jc w:val="center"/>
              <w:rPr>
                <w:rFonts w:cs="Times New Roman"/>
                <w:sz w:val="18"/>
                <w:szCs w:val="18"/>
              </w:rPr>
            </w:pPr>
            <w:r>
              <w:rPr>
                <w:rFonts w:cs="Times New Roman"/>
                <w:sz w:val="18"/>
                <w:szCs w:val="18"/>
              </w:rPr>
              <w:t>实施依据</w:t>
            </w:r>
          </w:p>
        </w:tc>
        <w:tc>
          <w:tcPr>
            <w:tcW w:w="2753" w:type="dxa"/>
            <w:vAlign w:val="center"/>
          </w:tcPr>
          <w:p>
            <w:pPr>
              <w:spacing w:line="280" w:lineRule="exact"/>
              <w:jc w:val="center"/>
              <w:rPr>
                <w:rFonts w:cs="Times New Roman"/>
                <w:sz w:val="18"/>
                <w:szCs w:val="18"/>
              </w:rPr>
            </w:pPr>
            <w:r>
              <w:rPr>
                <w:rFonts w:cs="Times New Roman"/>
                <w:sz w:val="18"/>
                <w:szCs w:val="18"/>
              </w:rPr>
              <w:t>责任事项</w:t>
            </w:r>
          </w:p>
        </w:tc>
        <w:tc>
          <w:tcPr>
            <w:tcW w:w="6610" w:type="dxa"/>
            <w:vAlign w:val="center"/>
          </w:tcPr>
          <w:p>
            <w:pPr>
              <w:spacing w:line="280" w:lineRule="exact"/>
              <w:jc w:val="center"/>
              <w:rPr>
                <w:rFonts w:cs="Times New Roman"/>
                <w:sz w:val="18"/>
                <w:szCs w:val="18"/>
              </w:rPr>
            </w:pPr>
            <w:r>
              <w:rPr>
                <w:rFonts w:cs="Times New Roman"/>
                <w:sz w:val="18"/>
                <w:szCs w:val="18"/>
              </w:rPr>
              <w:t>责任事项依据</w:t>
            </w:r>
          </w:p>
        </w:tc>
        <w:tc>
          <w:tcPr>
            <w:tcW w:w="1565" w:type="dxa"/>
            <w:vAlign w:val="center"/>
          </w:tcPr>
          <w:p>
            <w:pPr>
              <w:spacing w:line="280" w:lineRule="exact"/>
              <w:jc w:val="center"/>
              <w:rPr>
                <w:rFonts w:cs="Times New Roman"/>
                <w:sz w:val="18"/>
                <w:szCs w:val="18"/>
              </w:rPr>
            </w:pPr>
            <w:r>
              <w:rPr>
                <w:rFonts w:cs="Times New Roman"/>
                <w:sz w:val="18"/>
                <w:szCs w:val="18"/>
              </w:rPr>
              <w:t>追责情形</w:t>
            </w:r>
          </w:p>
        </w:tc>
        <w:tc>
          <w:tcPr>
            <w:tcW w:w="4410" w:type="dxa"/>
            <w:vAlign w:val="center"/>
          </w:tcPr>
          <w:p>
            <w:pPr>
              <w:spacing w:line="280" w:lineRule="exact"/>
              <w:jc w:val="center"/>
              <w:rPr>
                <w:rFonts w:cs="Times New Roman"/>
                <w:sz w:val="18"/>
                <w:szCs w:val="18"/>
              </w:rPr>
            </w:pPr>
            <w:r>
              <w:rPr>
                <w:rFonts w:cs="Times New Roman"/>
                <w:sz w:val="18"/>
                <w:szCs w:val="18"/>
              </w:rPr>
              <w:t>追责依据</w:t>
            </w:r>
          </w:p>
        </w:tc>
        <w:tc>
          <w:tcPr>
            <w:tcW w:w="613"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3" w:hRule="atLeast"/>
        </w:trPr>
        <w:tc>
          <w:tcPr>
            <w:tcW w:w="1020" w:type="dxa"/>
            <w:vAlign w:val="center"/>
          </w:tcPr>
          <w:p>
            <w:pPr>
              <w:spacing w:line="240" w:lineRule="exact"/>
              <w:jc w:val="center"/>
              <w:rPr>
                <w:rFonts w:cs="Times New Roman"/>
                <w:sz w:val="18"/>
                <w:szCs w:val="18"/>
              </w:rPr>
            </w:pPr>
            <w:r>
              <w:rPr>
                <w:rFonts w:cs="Times New Roman"/>
                <w:sz w:val="18"/>
                <w:szCs w:val="18"/>
              </w:rPr>
              <w:t>1</w:t>
            </w:r>
            <w:r>
              <w:rPr>
                <w:rFonts w:hint="eastAsia" w:cs="Times New Roman"/>
                <w:sz w:val="18"/>
                <w:szCs w:val="18"/>
              </w:rPr>
              <w:t>5</w:t>
            </w:r>
          </w:p>
        </w:tc>
        <w:tc>
          <w:tcPr>
            <w:tcW w:w="1007"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54" w:type="dxa"/>
            <w:vAlign w:val="center"/>
          </w:tcPr>
          <w:p>
            <w:pPr>
              <w:spacing w:line="240" w:lineRule="exact"/>
              <w:rPr>
                <w:rFonts w:cs="Times New Roman"/>
                <w:sz w:val="18"/>
                <w:szCs w:val="18"/>
              </w:rPr>
            </w:pPr>
            <w:r>
              <w:rPr>
                <w:rFonts w:hint="eastAsia"/>
                <w:bCs/>
                <w:color w:val="000000"/>
                <w:sz w:val="18"/>
                <w:szCs w:val="18"/>
                <w:lang w:val="zh-CN"/>
              </w:rPr>
              <w:t>对违法开垦、采石、采砂、采土、采种、采脂和其他活动，致使森林、林木受到毁坏的处罚</w:t>
            </w:r>
          </w:p>
        </w:tc>
        <w:tc>
          <w:tcPr>
            <w:tcW w:w="798" w:type="dxa"/>
            <w:vAlign w:val="center"/>
          </w:tcPr>
          <w:p>
            <w:pPr>
              <w:spacing w:line="240" w:lineRule="exact"/>
              <w:rPr>
                <w:rFonts w:cs="Times New Roman"/>
                <w:sz w:val="18"/>
                <w:szCs w:val="18"/>
              </w:rPr>
            </w:pPr>
            <w:r>
              <w:rPr>
                <w:rFonts w:cs="Times New Roman"/>
                <w:sz w:val="18"/>
                <w:szCs w:val="18"/>
              </w:rPr>
              <w:t>　</w:t>
            </w:r>
          </w:p>
        </w:tc>
        <w:tc>
          <w:tcPr>
            <w:tcW w:w="2430" w:type="dxa"/>
            <w:vAlign w:val="center"/>
          </w:tcPr>
          <w:p>
            <w:pPr>
              <w:spacing w:line="240" w:lineRule="exact"/>
              <w:ind w:firstLine="360" w:firstLineChars="200"/>
              <w:rPr>
                <w:color w:val="000000"/>
                <w:sz w:val="18"/>
                <w:szCs w:val="18"/>
              </w:rPr>
            </w:pPr>
            <w:r>
              <w:rPr>
                <w:rFonts w:cs="Times New Roman"/>
                <w:sz w:val="18"/>
                <w:szCs w:val="18"/>
              </w:rPr>
              <w:t>【法律】《中华人民共和国森林法》（1984年9月20日主席令第十七号公布，2009年8月27日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w:t>
            </w:r>
            <w:r>
              <w:rPr>
                <w:rFonts w:hint="eastAsia"/>
                <w:color w:val="000000"/>
                <w:sz w:val="18"/>
                <w:szCs w:val="18"/>
              </w:rPr>
              <w:t>第四十四条 违反本法规定，进行开垦、采石、采砂、采土、采种、采脂和其他活动，致使森林、林木受到毁坏的，依法赔偿损失；由林业主管部门责令停止违法行为，补种毁坏株数一倍以上三倍以下的树木，可以处毁坏林木价值一倍以上五倍以下的罚款。违反本法规定，在幼林地和特种用途林内砍柴、放牧致使森林、林木受到毁坏的，依法赔偿损失；由林业主管部门责令停止违法行为，补种毁坏株数一倍以上三倍以下的树木。拒不补种树木或者补种不符合国家有关规定的，由林业主管部门代为补种，所需费用由违法者支付。</w:t>
            </w:r>
          </w:p>
        </w:tc>
        <w:tc>
          <w:tcPr>
            <w:tcW w:w="2753"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 xml:space="preserve"> 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610"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5"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41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3" w:type="dxa"/>
            <w:vAlign w:val="center"/>
          </w:tcPr>
          <w:p>
            <w:pPr>
              <w:spacing w:line="240" w:lineRule="exact"/>
              <w:jc w:val="center"/>
              <w:rPr>
                <w:rFonts w:cs="Times New Roman"/>
                <w:sz w:val="18"/>
                <w:szCs w:val="18"/>
              </w:rPr>
            </w:pPr>
          </w:p>
        </w:tc>
      </w:tr>
    </w:tbl>
    <w:p>
      <w:pPr>
        <w:rPr>
          <w:rFonts w:cs="Times New Roman"/>
          <w:sz w:val="18"/>
          <w:szCs w:val="18"/>
        </w:rPr>
      </w:pPr>
    </w:p>
    <w:p>
      <w:pPr>
        <w:rPr>
          <w:rFonts w:cs="Times New Roman"/>
          <w:sz w:val="18"/>
          <w:szCs w:val="18"/>
        </w:rPr>
      </w:pPr>
    </w:p>
    <w:tbl>
      <w:tblPr>
        <w:tblStyle w:val="7"/>
        <w:tblpPr w:leftFromText="180" w:rightFromText="180" w:vertAnchor="text" w:horzAnchor="page" w:tblpX="1038" w:tblpY="167"/>
        <w:tblOverlap w:val="never"/>
        <w:tblW w:w="22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1009"/>
        <w:gridCol w:w="874"/>
        <w:gridCol w:w="781"/>
        <w:gridCol w:w="2434"/>
        <w:gridCol w:w="2625"/>
        <w:gridCol w:w="6666"/>
        <w:gridCol w:w="1561"/>
        <w:gridCol w:w="439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041" w:type="dxa"/>
            <w:vAlign w:val="center"/>
          </w:tcPr>
          <w:p>
            <w:pPr>
              <w:spacing w:line="280" w:lineRule="exact"/>
              <w:jc w:val="center"/>
              <w:rPr>
                <w:rFonts w:cs="Times New Roman"/>
                <w:sz w:val="18"/>
                <w:szCs w:val="18"/>
              </w:rPr>
            </w:pPr>
            <w:r>
              <w:rPr>
                <w:rFonts w:cs="Times New Roman"/>
                <w:sz w:val="18"/>
                <w:szCs w:val="18"/>
              </w:rPr>
              <w:t>序号</w:t>
            </w:r>
          </w:p>
        </w:tc>
        <w:tc>
          <w:tcPr>
            <w:tcW w:w="1009" w:type="dxa"/>
            <w:vAlign w:val="center"/>
          </w:tcPr>
          <w:p>
            <w:pPr>
              <w:spacing w:line="280" w:lineRule="exact"/>
              <w:jc w:val="center"/>
              <w:rPr>
                <w:rFonts w:cs="Times New Roman"/>
                <w:sz w:val="18"/>
                <w:szCs w:val="18"/>
              </w:rPr>
            </w:pPr>
            <w:r>
              <w:rPr>
                <w:rFonts w:cs="Times New Roman"/>
                <w:sz w:val="18"/>
                <w:szCs w:val="18"/>
              </w:rPr>
              <w:t>权力分类</w:t>
            </w:r>
          </w:p>
        </w:tc>
        <w:tc>
          <w:tcPr>
            <w:tcW w:w="874" w:type="dxa"/>
            <w:vAlign w:val="center"/>
          </w:tcPr>
          <w:p>
            <w:pPr>
              <w:spacing w:line="280" w:lineRule="exact"/>
              <w:jc w:val="center"/>
              <w:rPr>
                <w:rFonts w:cs="Times New Roman"/>
                <w:sz w:val="18"/>
                <w:szCs w:val="18"/>
              </w:rPr>
            </w:pPr>
            <w:r>
              <w:rPr>
                <w:rFonts w:cs="Times New Roman"/>
                <w:sz w:val="18"/>
                <w:szCs w:val="18"/>
              </w:rPr>
              <w:t>项目名称</w:t>
            </w:r>
          </w:p>
        </w:tc>
        <w:tc>
          <w:tcPr>
            <w:tcW w:w="781" w:type="dxa"/>
            <w:vAlign w:val="center"/>
          </w:tcPr>
          <w:p>
            <w:pPr>
              <w:spacing w:line="280" w:lineRule="exact"/>
              <w:jc w:val="center"/>
              <w:rPr>
                <w:rFonts w:cs="Times New Roman"/>
                <w:sz w:val="18"/>
                <w:szCs w:val="18"/>
              </w:rPr>
            </w:pPr>
            <w:r>
              <w:rPr>
                <w:rFonts w:cs="Times New Roman"/>
                <w:sz w:val="18"/>
                <w:szCs w:val="18"/>
              </w:rPr>
              <w:t>子项</w:t>
            </w:r>
          </w:p>
        </w:tc>
        <w:tc>
          <w:tcPr>
            <w:tcW w:w="2434" w:type="dxa"/>
            <w:vAlign w:val="center"/>
          </w:tcPr>
          <w:p>
            <w:pPr>
              <w:spacing w:line="280" w:lineRule="exact"/>
              <w:jc w:val="center"/>
              <w:rPr>
                <w:rFonts w:cs="Times New Roman"/>
                <w:sz w:val="18"/>
                <w:szCs w:val="18"/>
              </w:rPr>
            </w:pPr>
            <w:r>
              <w:rPr>
                <w:rFonts w:cs="Times New Roman"/>
                <w:sz w:val="18"/>
                <w:szCs w:val="18"/>
              </w:rPr>
              <w:t>实施依据</w:t>
            </w:r>
          </w:p>
        </w:tc>
        <w:tc>
          <w:tcPr>
            <w:tcW w:w="2625" w:type="dxa"/>
            <w:vAlign w:val="center"/>
          </w:tcPr>
          <w:p>
            <w:pPr>
              <w:spacing w:line="280" w:lineRule="exact"/>
              <w:jc w:val="center"/>
              <w:rPr>
                <w:rFonts w:cs="Times New Roman"/>
                <w:sz w:val="18"/>
                <w:szCs w:val="18"/>
              </w:rPr>
            </w:pPr>
            <w:r>
              <w:rPr>
                <w:rFonts w:cs="Times New Roman"/>
                <w:sz w:val="18"/>
                <w:szCs w:val="18"/>
              </w:rPr>
              <w:t>责任事项</w:t>
            </w:r>
          </w:p>
        </w:tc>
        <w:tc>
          <w:tcPr>
            <w:tcW w:w="6666" w:type="dxa"/>
            <w:vAlign w:val="center"/>
          </w:tcPr>
          <w:p>
            <w:pPr>
              <w:spacing w:line="280" w:lineRule="exact"/>
              <w:jc w:val="center"/>
              <w:rPr>
                <w:rFonts w:cs="Times New Roman"/>
                <w:sz w:val="18"/>
                <w:szCs w:val="18"/>
              </w:rPr>
            </w:pPr>
            <w:r>
              <w:rPr>
                <w:rFonts w:cs="Times New Roman"/>
                <w:sz w:val="18"/>
                <w:szCs w:val="18"/>
              </w:rPr>
              <w:t>责任事项依据</w:t>
            </w:r>
          </w:p>
        </w:tc>
        <w:tc>
          <w:tcPr>
            <w:tcW w:w="1561" w:type="dxa"/>
            <w:vAlign w:val="center"/>
          </w:tcPr>
          <w:p>
            <w:pPr>
              <w:spacing w:line="280" w:lineRule="exact"/>
              <w:jc w:val="center"/>
              <w:rPr>
                <w:rFonts w:cs="Times New Roman"/>
                <w:sz w:val="18"/>
                <w:szCs w:val="18"/>
              </w:rPr>
            </w:pPr>
            <w:r>
              <w:rPr>
                <w:rFonts w:cs="Times New Roman"/>
                <w:sz w:val="18"/>
                <w:szCs w:val="18"/>
              </w:rPr>
              <w:t>追责情形</w:t>
            </w:r>
          </w:p>
        </w:tc>
        <w:tc>
          <w:tcPr>
            <w:tcW w:w="439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3" w:hRule="atLeast"/>
        </w:trPr>
        <w:tc>
          <w:tcPr>
            <w:tcW w:w="1041" w:type="dxa"/>
            <w:vAlign w:val="center"/>
          </w:tcPr>
          <w:p>
            <w:pPr>
              <w:spacing w:line="240" w:lineRule="exact"/>
              <w:jc w:val="center"/>
              <w:rPr>
                <w:rFonts w:cs="Times New Roman"/>
                <w:sz w:val="18"/>
                <w:szCs w:val="18"/>
              </w:rPr>
            </w:pPr>
            <w:r>
              <w:rPr>
                <w:rFonts w:cs="Times New Roman"/>
                <w:sz w:val="18"/>
                <w:szCs w:val="18"/>
              </w:rPr>
              <w:t>1</w:t>
            </w:r>
            <w:r>
              <w:rPr>
                <w:rFonts w:hint="eastAsia" w:cs="Times New Roman"/>
                <w:sz w:val="18"/>
                <w:szCs w:val="18"/>
              </w:rPr>
              <w:t>6</w:t>
            </w:r>
          </w:p>
        </w:tc>
        <w:tc>
          <w:tcPr>
            <w:tcW w:w="1009"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74" w:type="dxa"/>
            <w:vAlign w:val="center"/>
          </w:tcPr>
          <w:p>
            <w:pPr>
              <w:spacing w:line="240" w:lineRule="exact"/>
              <w:rPr>
                <w:rFonts w:cs="Times New Roman"/>
                <w:sz w:val="18"/>
                <w:szCs w:val="18"/>
              </w:rPr>
            </w:pPr>
            <w:r>
              <w:rPr>
                <w:rFonts w:hint="eastAsia"/>
                <w:color w:val="000000"/>
                <w:sz w:val="18"/>
                <w:szCs w:val="18"/>
              </w:rPr>
              <w:t>对没有按照规定完成更新造林任务的处罚</w:t>
            </w:r>
          </w:p>
        </w:tc>
        <w:tc>
          <w:tcPr>
            <w:tcW w:w="781" w:type="dxa"/>
            <w:vAlign w:val="center"/>
          </w:tcPr>
          <w:p>
            <w:pPr>
              <w:spacing w:line="240" w:lineRule="exact"/>
              <w:rPr>
                <w:rFonts w:cs="Times New Roman"/>
                <w:sz w:val="18"/>
                <w:szCs w:val="18"/>
              </w:rPr>
            </w:pPr>
            <w:r>
              <w:rPr>
                <w:rFonts w:cs="Times New Roman"/>
                <w:sz w:val="18"/>
                <w:szCs w:val="18"/>
              </w:rPr>
              <w:t>　</w:t>
            </w:r>
          </w:p>
        </w:tc>
        <w:tc>
          <w:tcPr>
            <w:tcW w:w="2434" w:type="dxa"/>
            <w:vAlign w:val="center"/>
          </w:tcPr>
          <w:p>
            <w:pPr>
              <w:spacing w:line="240" w:lineRule="exact"/>
              <w:ind w:firstLine="360" w:firstLineChars="200"/>
              <w:rPr>
                <w:color w:val="000000"/>
                <w:sz w:val="18"/>
                <w:szCs w:val="18"/>
              </w:rPr>
            </w:pPr>
            <w:r>
              <w:rPr>
                <w:rFonts w:cs="Times New Roman"/>
                <w:sz w:val="18"/>
                <w:szCs w:val="18"/>
              </w:rPr>
              <w:t>【法律】《中华人民共和国森林法》（1984年9月20日主席令第十七号公布，2009年8月27日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w:t>
            </w:r>
            <w:r>
              <w:rPr>
                <w:rFonts w:hint="eastAsia"/>
                <w:color w:val="000000"/>
                <w:sz w:val="18"/>
                <w:szCs w:val="18"/>
              </w:rPr>
              <w:t>第四十五条 采伐林木的单位或者个人没有按照规定完成更新造林任务的，发放采伐许可证的部门有权不再发给采伐许可证，直到完成更新造林任务为止；情节严重的，可以由林业主管部门处以罚款，对直接责任人员由所在单位或者上级主管机关给予行政处分。</w:t>
            </w:r>
          </w:p>
          <w:p>
            <w:pPr>
              <w:spacing w:line="240" w:lineRule="exact"/>
              <w:ind w:firstLine="360" w:firstLineChars="200"/>
              <w:rPr>
                <w:color w:val="000000"/>
                <w:sz w:val="18"/>
                <w:szCs w:val="18"/>
              </w:rPr>
            </w:pPr>
            <w:r>
              <w:rPr>
                <w:rFonts w:cs="Times New Roman"/>
                <w:sz w:val="18"/>
                <w:szCs w:val="18"/>
              </w:rPr>
              <w:t>【法规】《中华人民共和国森林法实施条例》(2000年1月29日国务院令第278号发布， 2016年2月6日国务院令第666号第二次修</w:t>
            </w:r>
            <w:r>
              <w:rPr>
                <w:color w:val="000000"/>
                <w:sz w:val="18"/>
                <w:szCs w:val="18"/>
              </w:rPr>
              <w:t>订）</w:t>
            </w:r>
            <w:r>
              <w:rPr>
                <w:rFonts w:hint="eastAsia"/>
                <w:color w:val="000000"/>
                <w:sz w:val="18"/>
                <w:szCs w:val="18"/>
              </w:rPr>
              <w:t>第四十二条 有下列情形之一的，由县级以上人民政府林业主管部门责令限期完成造林任务；逾期未完成的，可以处应完成而未完成造林任务所需费用2倍以下的罚款；对直接负责的主管人员和其他直接责任人</w:t>
            </w:r>
            <w:r>
              <w:rPr>
                <w:rFonts w:cs="Times New Roman"/>
                <w:color w:val="000000"/>
                <w:sz w:val="18"/>
                <w:szCs w:val="18"/>
              </w:rPr>
              <w:t>员，依法给予行政处分：（一）连续两年未完成更新造林任务的；（二）当年更新造林面积未达到应更新造林面积50 %的；（三）除国家特别规定的干旱、半干旱地区外，更新造林当年成活率未达到85 %的；（四）植树造林责任单位未按照所在地县级人民政府的要求按时</w:t>
            </w:r>
            <w:r>
              <w:rPr>
                <w:rFonts w:hint="eastAsia"/>
                <w:color w:val="000000"/>
                <w:sz w:val="18"/>
                <w:szCs w:val="18"/>
              </w:rPr>
              <w:t xml:space="preserve">完成造林任务的。 </w:t>
            </w:r>
          </w:p>
        </w:tc>
        <w:tc>
          <w:tcPr>
            <w:tcW w:w="2625"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 xml:space="preserve"> 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666"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39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rPr>
          <w:rFonts w:cs="Times New Roman"/>
          <w:sz w:val="18"/>
          <w:szCs w:val="18"/>
        </w:rPr>
      </w:pPr>
    </w:p>
    <w:p>
      <w:pPr>
        <w:rPr>
          <w:rFonts w:cs="Times New Roman"/>
          <w:sz w:val="18"/>
          <w:szCs w:val="18"/>
        </w:rPr>
      </w:pPr>
    </w:p>
    <w:p>
      <w:pPr>
        <w:rPr>
          <w:rFonts w:cs="Times New Roman"/>
          <w:sz w:val="18"/>
          <w:szCs w:val="18"/>
        </w:rPr>
      </w:pPr>
    </w:p>
    <w:tbl>
      <w:tblPr>
        <w:tblStyle w:val="7"/>
        <w:tblpPr w:leftFromText="180" w:rightFromText="180" w:vertAnchor="text" w:horzAnchor="page" w:tblpX="1019" w:tblpY="110"/>
        <w:tblOverlap w:val="never"/>
        <w:tblW w:w="21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007"/>
        <w:gridCol w:w="892"/>
        <w:gridCol w:w="798"/>
        <w:gridCol w:w="2031"/>
        <w:gridCol w:w="2412"/>
        <w:gridCol w:w="7115"/>
        <w:gridCol w:w="1558"/>
        <w:gridCol w:w="4536"/>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020" w:type="dxa"/>
            <w:vAlign w:val="center"/>
          </w:tcPr>
          <w:p>
            <w:pPr>
              <w:spacing w:line="280" w:lineRule="exact"/>
              <w:jc w:val="center"/>
              <w:rPr>
                <w:rFonts w:cs="Times New Roman"/>
                <w:sz w:val="18"/>
                <w:szCs w:val="18"/>
              </w:rPr>
            </w:pPr>
            <w:r>
              <w:rPr>
                <w:rFonts w:cs="Times New Roman"/>
                <w:sz w:val="18"/>
                <w:szCs w:val="18"/>
              </w:rPr>
              <w:t>序号</w:t>
            </w:r>
          </w:p>
        </w:tc>
        <w:tc>
          <w:tcPr>
            <w:tcW w:w="1007" w:type="dxa"/>
            <w:vAlign w:val="center"/>
          </w:tcPr>
          <w:p>
            <w:pPr>
              <w:spacing w:line="280" w:lineRule="exact"/>
              <w:jc w:val="center"/>
              <w:rPr>
                <w:rFonts w:cs="Times New Roman"/>
                <w:sz w:val="18"/>
                <w:szCs w:val="18"/>
              </w:rPr>
            </w:pPr>
            <w:r>
              <w:rPr>
                <w:rFonts w:cs="Times New Roman"/>
                <w:sz w:val="18"/>
                <w:szCs w:val="18"/>
              </w:rPr>
              <w:t>权力分类</w:t>
            </w:r>
          </w:p>
        </w:tc>
        <w:tc>
          <w:tcPr>
            <w:tcW w:w="892" w:type="dxa"/>
            <w:vAlign w:val="center"/>
          </w:tcPr>
          <w:p>
            <w:pPr>
              <w:spacing w:line="280" w:lineRule="exact"/>
              <w:jc w:val="center"/>
              <w:rPr>
                <w:rFonts w:cs="Times New Roman"/>
                <w:sz w:val="18"/>
                <w:szCs w:val="18"/>
              </w:rPr>
            </w:pPr>
            <w:r>
              <w:rPr>
                <w:rFonts w:cs="Times New Roman"/>
                <w:sz w:val="18"/>
                <w:szCs w:val="18"/>
              </w:rPr>
              <w:t>项目名称</w:t>
            </w:r>
          </w:p>
        </w:tc>
        <w:tc>
          <w:tcPr>
            <w:tcW w:w="798" w:type="dxa"/>
            <w:vAlign w:val="center"/>
          </w:tcPr>
          <w:p>
            <w:pPr>
              <w:spacing w:line="280" w:lineRule="exact"/>
              <w:jc w:val="center"/>
              <w:rPr>
                <w:rFonts w:cs="Times New Roman"/>
                <w:sz w:val="18"/>
                <w:szCs w:val="18"/>
              </w:rPr>
            </w:pPr>
            <w:r>
              <w:rPr>
                <w:rFonts w:cs="Times New Roman"/>
                <w:sz w:val="18"/>
                <w:szCs w:val="18"/>
              </w:rPr>
              <w:t>子项</w:t>
            </w:r>
          </w:p>
        </w:tc>
        <w:tc>
          <w:tcPr>
            <w:tcW w:w="2031" w:type="dxa"/>
            <w:vAlign w:val="center"/>
          </w:tcPr>
          <w:p>
            <w:pPr>
              <w:spacing w:line="280" w:lineRule="exact"/>
              <w:jc w:val="center"/>
              <w:rPr>
                <w:rFonts w:cs="Times New Roman"/>
                <w:sz w:val="18"/>
                <w:szCs w:val="18"/>
              </w:rPr>
            </w:pPr>
            <w:r>
              <w:rPr>
                <w:rFonts w:cs="Times New Roman"/>
                <w:sz w:val="18"/>
                <w:szCs w:val="18"/>
              </w:rPr>
              <w:t>实施依据</w:t>
            </w:r>
          </w:p>
        </w:tc>
        <w:tc>
          <w:tcPr>
            <w:tcW w:w="2412" w:type="dxa"/>
            <w:vAlign w:val="center"/>
          </w:tcPr>
          <w:p>
            <w:pPr>
              <w:spacing w:line="280" w:lineRule="exact"/>
              <w:jc w:val="center"/>
              <w:rPr>
                <w:rFonts w:cs="Times New Roman"/>
                <w:sz w:val="18"/>
                <w:szCs w:val="18"/>
              </w:rPr>
            </w:pPr>
            <w:r>
              <w:rPr>
                <w:rFonts w:cs="Times New Roman"/>
                <w:sz w:val="18"/>
                <w:szCs w:val="18"/>
              </w:rPr>
              <w:t>责任事项</w:t>
            </w:r>
          </w:p>
        </w:tc>
        <w:tc>
          <w:tcPr>
            <w:tcW w:w="7115" w:type="dxa"/>
            <w:vAlign w:val="center"/>
          </w:tcPr>
          <w:p>
            <w:pPr>
              <w:spacing w:line="280" w:lineRule="exact"/>
              <w:jc w:val="center"/>
              <w:rPr>
                <w:rFonts w:cs="Times New Roman"/>
                <w:sz w:val="18"/>
                <w:szCs w:val="18"/>
              </w:rPr>
            </w:pPr>
            <w:r>
              <w:rPr>
                <w:rFonts w:cs="Times New Roman"/>
                <w:sz w:val="18"/>
                <w:szCs w:val="18"/>
              </w:rPr>
              <w:t>责任事项依据</w:t>
            </w:r>
          </w:p>
        </w:tc>
        <w:tc>
          <w:tcPr>
            <w:tcW w:w="1558" w:type="dxa"/>
            <w:vAlign w:val="center"/>
          </w:tcPr>
          <w:p>
            <w:pPr>
              <w:spacing w:line="280" w:lineRule="exact"/>
              <w:jc w:val="center"/>
              <w:rPr>
                <w:rFonts w:cs="Times New Roman"/>
                <w:sz w:val="18"/>
                <w:szCs w:val="18"/>
              </w:rPr>
            </w:pPr>
            <w:r>
              <w:rPr>
                <w:rFonts w:cs="Times New Roman"/>
                <w:sz w:val="18"/>
                <w:szCs w:val="18"/>
              </w:rPr>
              <w:t>追责情形</w:t>
            </w:r>
          </w:p>
        </w:tc>
        <w:tc>
          <w:tcPr>
            <w:tcW w:w="4536"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3" w:hRule="atLeast"/>
        </w:trPr>
        <w:tc>
          <w:tcPr>
            <w:tcW w:w="1020" w:type="dxa"/>
            <w:vAlign w:val="center"/>
          </w:tcPr>
          <w:p>
            <w:pPr>
              <w:spacing w:line="240" w:lineRule="exact"/>
              <w:jc w:val="center"/>
              <w:rPr>
                <w:rFonts w:cs="Times New Roman"/>
                <w:sz w:val="18"/>
                <w:szCs w:val="18"/>
              </w:rPr>
            </w:pPr>
            <w:r>
              <w:rPr>
                <w:rFonts w:cs="Times New Roman"/>
                <w:sz w:val="18"/>
                <w:szCs w:val="18"/>
              </w:rPr>
              <w:t>1</w:t>
            </w:r>
            <w:r>
              <w:rPr>
                <w:rFonts w:hint="eastAsia" w:cs="Times New Roman"/>
                <w:sz w:val="18"/>
                <w:szCs w:val="18"/>
              </w:rPr>
              <w:t>7</w:t>
            </w:r>
          </w:p>
        </w:tc>
        <w:tc>
          <w:tcPr>
            <w:tcW w:w="1007"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92" w:type="dxa"/>
            <w:vAlign w:val="center"/>
          </w:tcPr>
          <w:p>
            <w:pPr>
              <w:spacing w:line="240" w:lineRule="exact"/>
              <w:rPr>
                <w:rFonts w:cs="Times New Roman"/>
                <w:sz w:val="18"/>
                <w:szCs w:val="18"/>
              </w:rPr>
            </w:pPr>
            <w:r>
              <w:rPr>
                <w:rFonts w:hint="eastAsia"/>
                <w:bCs/>
                <w:color w:val="000000"/>
                <w:sz w:val="18"/>
                <w:szCs w:val="18"/>
                <w:lang w:val="zh-CN"/>
              </w:rPr>
              <w:t>对擅自改变林地用途的处罚</w:t>
            </w:r>
          </w:p>
        </w:tc>
        <w:tc>
          <w:tcPr>
            <w:tcW w:w="798" w:type="dxa"/>
            <w:vAlign w:val="center"/>
          </w:tcPr>
          <w:p>
            <w:pPr>
              <w:spacing w:line="240" w:lineRule="exact"/>
              <w:rPr>
                <w:rFonts w:cs="Times New Roman"/>
                <w:sz w:val="18"/>
                <w:szCs w:val="18"/>
              </w:rPr>
            </w:pPr>
            <w:r>
              <w:rPr>
                <w:rFonts w:cs="Times New Roman"/>
                <w:sz w:val="18"/>
                <w:szCs w:val="18"/>
              </w:rPr>
              <w:t>　</w:t>
            </w:r>
          </w:p>
        </w:tc>
        <w:tc>
          <w:tcPr>
            <w:tcW w:w="2031" w:type="dxa"/>
            <w:vAlign w:val="center"/>
          </w:tcPr>
          <w:p>
            <w:pPr>
              <w:spacing w:line="240" w:lineRule="exact"/>
              <w:ind w:firstLine="360" w:firstLineChars="200"/>
              <w:rPr>
                <w:rFonts w:cs="Times New Roman"/>
                <w:sz w:val="18"/>
                <w:szCs w:val="18"/>
              </w:rPr>
            </w:pPr>
            <w:r>
              <w:rPr>
                <w:rFonts w:cs="Times New Roman"/>
                <w:sz w:val="18"/>
                <w:szCs w:val="18"/>
              </w:rPr>
              <w:t>【法规】《中华人民共和国森林法实施条例》(2000年1月29日国务院令第278号发布， 2016年2月6日国务院令第666号第二次修订）</w:t>
            </w:r>
            <w:r>
              <w:rPr>
                <w:rFonts w:hint="eastAsia" w:cs="Times New Roman"/>
                <w:sz w:val="18"/>
                <w:szCs w:val="18"/>
              </w:rPr>
              <w:t xml:space="preserve"> 第四十三条 未经县级以上人民政府林业主管部门审核同意，擅自改变林地用途的，由县级以上人民政府林业主管部门责令限期恢复原状，并处非法改变用途林地每平方米10元至30元的罚款。临时占用林地，逾期不归还的，依照前款规定处罚。</w:t>
            </w:r>
          </w:p>
          <w:p>
            <w:pPr>
              <w:spacing w:line="240" w:lineRule="exact"/>
              <w:ind w:firstLine="360" w:firstLineChars="200"/>
              <w:rPr>
                <w:color w:val="000000"/>
                <w:sz w:val="18"/>
                <w:szCs w:val="18"/>
              </w:rPr>
            </w:pPr>
          </w:p>
        </w:tc>
        <w:tc>
          <w:tcPr>
            <w:tcW w:w="2412"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 xml:space="preserve"> 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115"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8"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536"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rPr>
          <w:rFonts w:cs="Times New Roman"/>
          <w:sz w:val="18"/>
          <w:szCs w:val="18"/>
        </w:rPr>
      </w:pPr>
    </w:p>
    <w:p>
      <w:pPr>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970"/>
        <w:gridCol w:w="912"/>
        <w:gridCol w:w="798"/>
        <w:gridCol w:w="2052"/>
        <w:gridCol w:w="2395"/>
        <w:gridCol w:w="7117"/>
        <w:gridCol w:w="1557"/>
        <w:gridCol w:w="4674"/>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1114" w:type="dxa"/>
            <w:vAlign w:val="center"/>
          </w:tcPr>
          <w:p>
            <w:pPr>
              <w:spacing w:line="280" w:lineRule="exact"/>
              <w:jc w:val="center"/>
              <w:rPr>
                <w:rFonts w:cs="Times New Roman"/>
                <w:sz w:val="18"/>
                <w:szCs w:val="18"/>
              </w:rPr>
            </w:pPr>
            <w:r>
              <w:rPr>
                <w:rFonts w:cs="Times New Roman"/>
                <w:sz w:val="18"/>
                <w:szCs w:val="18"/>
              </w:rPr>
              <w:t>序号</w:t>
            </w:r>
          </w:p>
        </w:tc>
        <w:tc>
          <w:tcPr>
            <w:tcW w:w="970" w:type="dxa"/>
            <w:vAlign w:val="center"/>
          </w:tcPr>
          <w:p>
            <w:pPr>
              <w:spacing w:line="280" w:lineRule="exact"/>
              <w:jc w:val="center"/>
              <w:rPr>
                <w:rFonts w:cs="Times New Roman"/>
                <w:sz w:val="18"/>
                <w:szCs w:val="18"/>
              </w:rPr>
            </w:pPr>
            <w:r>
              <w:rPr>
                <w:rFonts w:cs="Times New Roman"/>
                <w:sz w:val="18"/>
                <w:szCs w:val="18"/>
              </w:rPr>
              <w:t>权力分类</w:t>
            </w:r>
          </w:p>
        </w:tc>
        <w:tc>
          <w:tcPr>
            <w:tcW w:w="912" w:type="dxa"/>
            <w:vAlign w:val="center"/>
          </w:tcPr>
          <w:p>
            <w:pPr>
              <w:spacing w:line="280" w:lineRule="exact"/>
              <w:jc w:val="center"/>
              <w:rPr>
                <w:rFonts w:cs="Times New Roman"/>
                <w:sz w:val="18"/>
                <w:szCs w:val="18"/>
              </w:rPr>
            </w:pPr>
            <w:r>
              <w:rPr>
                <w:rFonts w:cs="Times New Roman"/>
                <w:sz w:val="18"/>
                <w:szCs w:val="18"/>
              </w:rPr>
              <w:t>项目名称</w:t>
            </w:r>
          </w:p>
        </w:tc>
        <w:tc>
          <w:tcPr>
            <w:tcW w:w="798" w:type="dxa"/>
            <w:vAlign w:val="center"/>
          </w:tcPr>
          <w:p>
            <w:pPr>
              <w:spacing w:line="280" w:lineRule="exact"/>
              <w:jc w:val="center"/>
              <w:rPr>
                <w:rFonts w:cs="Times New Roman"/>
                <w:sz w:val="18"/>
                <w:szCs w:val="18"/>
              </w:rPr>
            </w:pPr>
            <w:r>
              <w:rPr>
                <w:rFonts w:cs="Times New Roman"/>
                <w:sz w:val="18"/>
                <w:szCs w:val="18"/>
              </w:rPr>
              <w:t>子项</w:t>
            </w:r>
          </w:p>
        </w:tc>
        <w:tc>
          <w:tcPr>
            <w:tcW w:w="2052" w:type="dxa"/>
            <w:vAlign w:val="center"/>
          </w:tcPr>
          <w:p>
            <w:pPr>
              <w:spacing w:line="280" w:lineRule="exact"/>
              <w:jc w:val="center"/>
              <w:rPr>
                <w:rFonts w:cs="Times New Roman"/>
                <w:sz w:val="18"/>
                <w:szCs w:val="18"/>
              </w:rPr>
            </w:pPr>
            <w:r>
              <w:rPr>
                <w:rFonts w:cs="Times New Roman"/>
                <w:sz w:val="18"/>
                <w:szCs w:val="18"/>
              </w:rPr>
              <w:t>实施依据</w:t>
            </w:r>
          </w:p>
        </w:tc>
        <w:tc>
          <w:tcPr>
            <w:tcW w:w="2395" w:type="dxa"/>
            <w:vAlign w:val="center"/>
          </w:tcPr>
          <w:p>
            <w:pPr>
              <w:spacing w:line="280" w:lineRule="exact"/>
              <w:jc w:val="center"/>
              <w:rPr>
                <w:rFonts w:cs="Times New Roman"/>
                <w:sz w:val="18"/>
                <w:szCs w:val="18"/>
              </w:rPr>
            </w:pPr>
            <w:r>
              <w:rPr>
                <w:rFonts w:cs="Times New Roman"/>
                <w:sz w:val="18"/>
                <w:szCs w:val="18"/>
              </w:rPr>
              <w:t>责任事项</w:t>
            </w:r>
          </w:p>
        </w:tc>
        <w:tc>
          <w:tcPr>
            <w:tcW w:w="7117"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4"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8" w:hRule="atLeast"/>
          <w:jc w:val="center"/>
        </w:trPr>
        <w:tc>
          <w:tcPr>
            <w:tcW w:w="1114" w:type="dxa"/>
            <w:vAlign w:val="center"/>
          </w:tcPr>
          <w:p>
            <w:pPr>
              <w:spacing w:line="240" w:lineRule="exact"/>
              <w:jc w:val="center"/>
              <w:rPr>
                <w:rFonts w:cs="Times New Roman"/>
                <w:sz w:val="18"/>
                <w:szCs w:val="18"/>
              </w:rPr>
            </w:pPr>
            <w:r>
              <w:rPr>
                <w:rFonts w:cs="Times New Roman"/>
                <w:sz w:val="18"/>
                <w:szCs w:val="18"/>
              </w:rPr>
              <w:t>1</w:t>
            </w:r>
            <w:r>
              <w:rPr>
                <w:rFonts w:hint="eastAsia" w:cs="Times New Roman"/>
                <w:sz w:val="18"/>
                <w:szCs w:val="18"/>
              </w:rPr>
              <w:t>8</w:t>
            </w:r>
          </w:p>
        </w:tc>
        <w:tc>
          <w:tcPr>
            <w:tcW w:w="97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912" w:type="dxa"/>
            <w:vAlign w:val="center"/>
          </w:tcPr>
          <w:p>
            <w:pPr>
              <w:spacing w:line="240" w:lineRule="exact"/>
              <w:rPr>
                <w:rFonts w:cs="Times New Roman"/>
                <w:sz w:val="18"/>
                <w:szCs w:val="18"/>
              </w:rPr>
            </w:pPr>
            <w:r>
              <w:rPr>
                <w:rFonts w:hint="eastAsia" w:cs="Times New Roman"/>
                <w:sz w:val="18"/>
                <w:szCs w:val="18"/>
              </w:rPr>
              <w:t>对违法运输木材行为的处罚</w:t>
            </w:r>
          </w:p>
        </w:tc>
        <w:tc>
          <w:tcPr>
            <w:tcW w:w="798" w:type="dxa"/>
            <w:vAlign w:val="center"/>
          </w:tcPr>
          <w:p>
            <w:pPr>
              <w:spacing w:line="240" w:lineRule="exact"/>
              <w:rPr>
                <w:rFonts w:cs="Times New Roman"/>
                <w:sz w:val="18"/>
                <w:szCs w:val="18"/>
              </w:rPr>
            </w:pPr>
            <w:r>
              <w:rPr>
                <w:rFonts w:cs="Times New Roman"/>
                <w:sz w:val="18"/>
                <w:szCs w:val="18"/>
              </w:rPr>
              <w:t>　</w:t>
            </w:r>
          </w:p>
        </w:tc>
        <w:tc>
          <w:tcPr>
            <w:tcW w:w="2052" w:type="dxa"/>
            <w:vAlign w:val="center"/>
          </w:tcPr>
          <w:p>
            <w:pPr>
              <w:spacing w:line="240" w:lineRule="exact"/>
              <w:ind w:firstLine="360" w:firstLineChars="200"/>
              <w:rPr>
                <w:rFonts w:cs="Times New Roman"/>
                <w:sz w:val="18"/>
                <w:szCs w:val="18"/>
              </w:rPr>
            </w:pPr>
            <w:r>
              <w:rPr>
                <w:rFonts w:cs="Times New Roman"/>
                <w:sz w:val="18"/>
                <w:szCs w:val="18"/>
              </w:rPr>
              <w:t>【法规】《中华人民共和国森林法实施条例》(2000年1月29日国务院令第278号发布，2016年2月6日国务院令第666号第二次修订）</w:t>
            </w:r>
            <w:r>
              <w:rPr>
                <w:rFonts w:hint="eastAsia" w:cs="Times New Roman"/>
                <w:sz w:val="18"/>
                <w:szCs w:val="18"/>
              </w:rPr>
              <w:t xml:space="preserve"> 第四十四条 无木材运输证运输木材的，由县级以上人民政府林业主管部门没收非法运输的木材，对货主可以并处非法运输木材价款30 %以下的罚款。</w:t>
            </w:r>
          </w:p>
          <w:p>
            <w:pPr>
              <w:spacing w:line="240" w:lineRule="exact"/>
              <w:ind w:firstLine="360" w:firstLineChars="200"/>
              <w:rPr>
                <w:rFonts w:cs="Times New Roman"/>
                <w:sz w:val="18"/>
                <w:szCs w:val="18"/>
              </w:rPr>
            </w:pPr>
            <w:r>
              <w:rPr>
                <w:rFonts w:hint="eastAsia" w:cs="Times New Roman"/>
                <w:sz w:val="18"/>
                <w:szCs w:val="18"/>
              </w:rPr>
              <w:t>运输的木材数量超出木材运输证所准运的运输数量的，由县级以上人民政府林业主管部门没收超出部分的木材；运输的木材树种、材种、规格与木材运输证规定不符又无正当理由的，没收其不相符部分的木材。</w:t>
            </w:r>
          </w:p>
          <w:p>
            <w:pPr>
              <w:spacing w:line="240" w:lineRule="exact"/>
              <w:ind w:firstLine="360" w:firstLineChars="200"/>
              <w:rPr>
                <w:color w:val="000000"/>
                <w:sz w:val="18"/>
                <w:szCs w:val="18"/>
              </w:rPr>
            </w:pPr>
            <w:r>
              <w:rPr>
                <w:rFonts w:hint="eastAsia" w:cs="Times New Roman"/>
                <w:sz w:val="18"/>
                <w:szCs w:val="18"/>
              </w:rPr>
              <w:t>使用伪造、涂改的木材运输证运输木材的，由县级以上人民政府林业主管部门没收非法运输的木材，并处没收木材价款10％至50％的罚款。承运无木材运输证的木材的，由县级以上人民政府林业主管部门没收运费，并处运费1倍至3倍的罚款。</w:t>
            </w:r>
          </w:p>
        </w:tc>
        <w:tc>
          <w:tcPr>
            <w:tcW w:w="2395"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 xml:space="preserve"> 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117"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981" w:tblpY="20"/>
        <w:tblOverlap w:val="never"/>
        <w:tblW w:w="22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005"/>
        <w:gridCol w:w="929"/>
        <w:gridCol w:w="777"/>
        <w:gridCol w:w="2028"/>
        <w:gridCol w:w="2369"/>
        <w:gridCol w:w="7223"/>
        <w:gridCol w:w="1555"/>
        <w:gridCol w:w="4665"/>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99" w:type="dxa"/>
            <w:vAlign w:val="center"/>
          </w:tcPr>
          <w:p>
            <w:pPr>
              <w:spacing w:line="280" w:lineRule="exact"/>
              <w:jc w:val="center"/>
              <w:rPr>
                <w:rFonts w:cs="Times New Roman"/>
                <w:sz w:val="18"/>
                <w:szCs w:val="18"/>
              </w:rPr>
            </w:pPr>
            <w:r>
              <w:rPr>
                <w:rFonts w:cs="Times New Roman"/>
                <w:sz w:val="18"/>
                <w:szCs w:val="18"/>
              </w:rPr>
              <w:t>序号</w:t>
            </w:r>
          </w:p>
        </w:tc>
        <w:tc>
          <w:tcPr>
            <w:tcW w:w="1005" w:type="dxa"/>
            <w:vAlign w:val="center"/>
          </w:tcPr>
          <w:p>
            <w:pPr>
              <w:spacing w:line="280" w:lineRule="exact"/>
              <w:jc w:val="center"/>
              <w:rPr>
                <w:rFonts w:cs="Times New Roman"/>
                <w:sz w:val="18"/>
                <w:szCs w:val="18"/>
              </w:rPr>
            </w:pPr>
            <w:r>
              <w:rPr>
                <w:rFonts w:cs="Times New Roman"/>
                <w:sz w:val="18"/>
                <w:szCs w:val="18"/>
              </w:rPr>
              <w:t>权力分类</w:t>
            </w:r>
          </w:p>
        </w:tc>
        <w:tc>
          <w:tcPr>
            <w:tcW w:w="929" w:type="dxa"/>
            <w:vAlign w:val="center"/>
          </w:tcPr>
          <w:p>
            <w:pPr>
              <w:spacing w:line="280" w:lineRule="exact"/>
              <w:jc w:val="center"/>
              <w:rPr>
                <w:rFonts w:cs="Times New Roman"/>
                <w:sz w:val="18"/>
                <w:szCs w:val="18"/>
              </w:rPr>
            </w:pPr>
            <w:r>
              <w:rPr>
                <w:rFonts w:cs="Times New Roman"/>
                <w:sz w:val="18"/>
                <w:szCs w:val="18"/>
              </w:rPr>
              <w:t>项目名称</w:t>
            </w:r>
          </w:p>
        </w:tc>
        <w:tc>
          <w:tcPr>
            <w:tcW w:w="777" w:type="dxa"/>
            <w:vAlign w:val="center"/>
          </w:tcPr>
          <w:p>
            <w:pPr>
              <w:spacing w:line="280" w:lineRule="exact"/>
              <w:jc w:val="center"/>
              <w:rPr>
                <w:rFonts w:cs="Times New Roman"/>
                <w:sz w:val="18"/>
                <w:szCs w:val="18"/>
              </w:rPr>
            </w:pPr>
            <w:r>
              <w:rPr>
                <w:rFonts w:cs="Times New Roman"/>
                <w:sz w:val="18"/>
                <w:szCs w:val="18"/>
              </w:rPr>
              <w:t>子项</w:t>
            </w:r>
          </w:p>
        </w:tc>
        <w:tc>
          <w:tcPr>
            <w:tcW w:w="2028" w:type="dxa"/>
            <w:vAlign w:val="center"/>
          </w:tcPr>
          <w:p>
            <w:pPr>
              <w:spacing w:line="280" w:lineRule="exact"/>
              <w:jc w:val="center"/>
              <w:rPr>
                <w:rFonts w:cs="Times New Roman"/>
                <w:sz w:val="18"/>
                <w:szCs w:val="18"/>
              </w:rPr>
            </w:pPr>
            <w:r>
              <w:rPr>
                <w:rFonts w:cs="Times New Roman"/>
                <w:sz w:val="18"/>
                <w:szCs w:val="18"/>
              </w:rPr>
              <w:t>实施依据</w:t>
            </w:r>
          </w:p>
        </w:tc>
        <w:tc>
          <w:tcPr>
            <w:tcW w:w="2369" w:type="dxa"/>
            <w:vAlign w:val="center"/>
          </w:tcPr>
          <w:p>
            <w:pPr>
              <w:spacing w:line="280" w:lineRule="exact"/>
              <w:jc w:val="center"/>
              <w:rPr>
                <w:rFonts w:cs="Times New Roman"/>
                <w:sz w:val="18"/>
                <w:szCs w:val="18"/>
              </w:rPr>
            </w:pPr>
            <w:r>
              <w:rPr>
                <w:rFonts w:cs="Times New Roman"/>
                <w:sz w:val="18"/>
                <w:szCs w:val="18"/>
              </w:rPr>
              <w:t>责任事项</w:t>
            </w:r>
          </w:p>
        </w:tc>
        <w:tc>
          <w:tcPr>
            <w:tcW w:w="7223" w:type="dxa"/>
            <w:vAlign w:val="center"/>
          </w:tcPr>
          <w:p>
            <w:pPr>
              <w:spacing w:line="280" w:lineRule="exact"/>
              <w:jc w:val="center"/>
              <w:rPr>
                <w:rFonts w:cs="Times New Roman"/>
                <w:sz w:val="18"/>
                <w:szCs w:val="18"/>
              </w:rPr>
            </w:pPr>
            <w:r>
              <w:rPr>
                <w:rFonts w:cs="Times New Roman"/>
                <w:sz w:val="18"/>
                <w:szCs w:val="18"/>
              </w:rPr>
              <w:t>责任事项依据</w:t>
            </w:r>
          </w:p>
        </w:tc>
        <w:tc>
          <w:tcPr>
            <w:tcW w:w="1555" w:type="dxa"/>
            <w:vAlign w:val="center"/>
          </w:tcPr>
          <w:p>
            <w:pPr>
              <w:spacing w:line="280" w:lineRule="exact"/>
              <w:jc w:val="center"/>
              <w:rPr>
                <w:rFonts w:cs="Times New Roman"/>
                <w:sz w:val="18"/>
                <w:szCs w:val="18"/>
              </w:rPr>
            </w:pPr>
            <w:r>
              <w:rPr>
                <w:rFonts w:cs="Times New Roman"/>
                <w:sz w:val="18"/>
                <w:szCs w:val="18"/>
              </w:rPr>
              <w:t>追责情形</w:t>
            </w:r>
          </w:p>
        </w:tc>
        <w:tc>
          <w:tcPr>
            <w:tcW w:w="4665"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4" w:hRule="atLeast"/>
        </w:trPr>
        <w:tc>
          <w:tcPr>
            <w:tcW w:w="999" w:type="dxa"/>
            <w:vAlign w:val="center"/>
          </w:tcPr>
          <w:p>
            <w:pPr>
              <w:spacing w:line="240" w:lineRule="exact"/>
              <w:jc w:val="center"/>
              <w:rPr>
                <w:rFonts w:cs="Times New Roman"/>
                <w:sz w:val="18"/>
                <w:szCs w:val="18"/>
              </w:rPr>
            </w:pPr>
            <w:r>
              <w:rPr>
                <w:rFonts w:cs="Times New Roman"/>
                <w:sz w:val="18"/>
                <w:szCs w:val="18"/>
              </w:rPr>
              <w:t>1</w:t>
            </w:r>
            <w:r>
              <w:rPr>
                <w:rFonts w:hint="eastAsia" w:cs="Times New Roman"/>
                <w:sz w:val="18"/>
                <w:szCs w:val="18"/>
              </w:rPr>
              <w:t>9</w:t>
            </w:r>
          </w:p>
        </w:tc>
        <w:tc>
          <w:tcPr>
            <w:tcW w:w="1005"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929" w:type="dxa"/>
            <w:vAlign w:val="center"/>
          </w:tcPr>
          <w:p>
            <w:pPr>
              <w:spacing w:line="240" w:lineRule="exact"/>
              <w:rPr>
                <w:rFonts w:cs="Times New Roman"/>
                <w:sz w:val="18"/>
                <w:szCs w:val="18"/>
              </w:rPr>
            </w:pPr>
            <w:r>
              <w:rPr>
                <w:rFonts w:hint="eastAsia" w:cs="Times New Roman"/>
                <w:sz w:val="18"/>
                <w:szCs w:val="18"/>
              </w:rPr>
              <w:t>对未经批准擅自将防护林和特种用途林改变为其他林种的处罚</w:t>
            </w:r>
          </w:p>
        </w:tc>
        <w:tc>
          <w:tcPr>
            <w:tcW w:w="777" w:type="dxa"/>
            <w:vAlign w:val="center"/>
          </w:tcPr>
          <w:p>
            <w:pPr>
              <w:spacing w:line="240" w:lineRule="exact"/>
              <w:rPr>
                <w:rFonts w:cs="Times New Roman"/>
                <w:sz w:val="18"/>
                <w:szCs w:val="18"/>
              </w:rPr>
            </w:pPr>
            <w:r>
              <w:rPr>
                <w:rFonts w:cs="Times New Roman"/>
                <w:sz w:val="18"/>
                <w:szCs w:val="18"/>
              </w:rPr>
              <w:t>　</w:t>
            </w:r>
          </w:p>
        </w:tc>
        <w:tc>
          <w:tcPr>
            <w:tcW w:w="2028" w:type="dxa"/>
            <w:vAlign w:val="center"/>
          </w:tcPr>
          <w:p>
            <w:pPr>
              <w:spacing w:line="240" w:lineRule="exact"/>
              <w:ind w:firstLine="360" w:firstLineChars="200"/>
              <w:rPr>
                <w:color w:val="000000"/>
                <w:sz w:val="18"/>
                <w:szCs w:val="18"/>
              </w:rPr>
            </w:pPr>
            <w:r>
              <w:rPr>
                <w:rFonts w:cs="Times New Roman"/>
                <w:sz w:val="18"/>
                <w:szCs w:val="18"/>
              </w:rPr>
              <w:t>【法规】《中华人民共和国森林法实施条例》(2000年1月29日国务院令第278号发布，2016年2月6日国务院令第666号第二次修订）</w:t>
            </w:r>
            <w:r>
              <w:rPr>
                <w:rFonts w:hint="eastAsia" w:cs="Times New Roman"/>
                <w:sz w:val="18"/>
                <w:szCs w:val="18"/>
              </w:rPr>
              <w:t>第四十六条 违反本条例规定，未经批准，擅自将防护林和特种用途林改变为其他林种的，由县级以上人民政府林业主管部门收回经营者所获取的森林生态效益补偿，并处所获取森林生态效益补偿3倍以下的罚款。 </w:t>
            </w:r>
            <w:r>
              <w:rPr>
                <w:rFonts w:hint="eastAsia" w:cs="Times New Roman"/>
                <w:sz w:val="18"/>
                <w:szCs w:val="18"/>
              </w:rPr>
              <w:br w:type="textWrapping"/>
            </w:r>
          </w:p>
        </w:tc>
        <w:tc>
          <w:tcPr>
            <w:tcW w:w="2369"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 xml:space="preserve"> 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223"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5"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65"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924" w:tblpY="174"/>
        <w:tblOverlap w:val="never"/>
        <w:tblW w:w="221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005"/>
        <w:gridCol w:w="928"/>
        <w:gridCol w:w="759"/>
        <w:gridCol w:w="2010"/>
        <w:gridCol w:w="2351"/>
        <w:gridCol w:w="7236"/>
        <w:gridCol w:w="1557"/>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056" w:type="dxa"/>
            <w:vAlign w:val="center"/>
          </w:tcPr>
          <w:p>
            <w:pPr>
              <w:spacing w:line="280" w:lineRule="exact"/>
              <w:jc w:val="center"/>
              <w:rPr>
                <w:rFonts w:cs="Times New Roman"/>
                <w:sz w:val="18"/>
                <w:szCs w:val="18"/>
              </w:rPr>
            </w:pPr>
            <w:r>
              <w:rPr>
                <w:rFonts w:cs="Times New Roman"/>
                <w:sz w:val="18"/>
                <w:szCs w:val="18"/>
              </w:rPr>
              <w:t>序号</w:t>
            </w:r>
          </w:p>
        </w:tc>
        <w:tc>
          <w:tcPr>
            <w:tcW w:w="1005" w:type="dxa"/>
            <w:vAlign w:val="center"/>
          </w:tcPr>
          <w:p>
            <w:pPr>
              <w:spacing w:line="280" w:lineRule="exact"/>
              <w:jc w:val="center"/>
              <w:rPr>
                <w:rFonts w:cs="Times New Roman"/>
                <w:sz w:val="18"/>
                <w:szCs w:val="18"/>
              </w:rPr>
            </w:pPr>
            <w:r>
              <w:rPr>
                <w:rFonts w:cs="Times New Roman"/>
                <w:sz w:val="18"/>
                <w:szCs w:val="18"/>
              </w:rPr>
              <w:t>权力分类</w:t>
            </w:r>
          </w:p>
        </w:tc>
        <w:tc>
          <w:tcPr>
            <w:tcW w:w="928" w:type="dxa"/>
            <w:vAlign w:val="center"/>
          </w:tcPr>
          <w:p>
            <w:pPr>
              <w:spacing w:line="280" w:lineRule="exact"/>
              <w:jc w:val="center"/>
              <w:rPr>
                <w:rFonts w:cs="Times New Roman"/>
                <w:sz w:val="18"/>
                <w:szCs w:val="18"/>
              </w:rPr>
            </w:pPr>
            <w:r>
              <w:rPr>
                <w:rFonts w:cs="Times New Roman"/>
                <w:sz w:val="18"/>
                <w:szCs w:val="18"/>
              </w:rPr>
              <w:t>项目名称</w:t>
            </w:r>
          </w:p>
        </w:tc>
        <w:tc>
          <w:tcPr>
            <w:tcW w:w="759" w:type="dxa"/>
            <w:vAlign w:val="center"/>
          </w:tcPr>
          <w:p>
            <w:pPr>
              <w:spacing w:line="280" w:lineRule="exact"/>
              <w:jc w:val="center"/>
              <w:rPr>
                <w:rFonts w:cs="Times New Roman"/>
                <w:sz w:val="18"/>
                <w:szCs w:val="18"/>
              </w:rPr>
            </w:pPr>
            <w:r>
              <w:rPr>
                <w:rFonts w:cs="Times New Roman"/>
                <w:sz w:val="18"/>
                <w:szCs w:val="18"/>
              </w:rPr>
              <w:t>子项</w:t>
            </w:r>
          </w:p>
        </w:tc>
        <w:tc>
          <w:tcPr>
            <w:tcW w:w="2010" w:type="dxa"/>
            <w:vAlign w:val="center"/>
          </w:tcPr>
          <w:p>
            <w:pPr>
              <w:spacing w:line="280" w:lineRule="exact"/>
              <w:jc w:val="center"/>
              <w:rPr>
                <w:rFonts w:cs="Times New Roman"/>
                <w:sz w:val="18"/>
                <w:szCs w:val="18"/>
              </w:rPr>
            </w:pPr>
            <w:r>
              <w:rPr>
                <w:rFonts w:cs="Times New Roman"/>
                <w:sz w:val="18"/>
                <w:szCs w:val="18"/>
              </w:rPr>
              <w:t>实施依据</w:t>
            </w:r>
          </w:p>
        </w:tc>
        <w:tc>
          <w:tcPr>
            <w:tcW w:w="2351" w:type="dxa"/>
            <w:vAlign w:val="center"/>
          </w:tcPr>
          <w:p>
            <w:pPr>
              <w:spacing w:line="280" w:lineRule="exact"/>
              <w:jc w:val="center"/>
              <w:rPr>
                <w:rFonts w:cs="Times New Roman"/>
                <w:sz w:val="18"/>
                <w:szCs w:val="18"/>
              </w:rPr>
            </w:pPr>
            <w:r>
              <w:rPr>
                <w:rFonts w:cs="Times New Roman"/>
                <w:sz w:val="18"/>
                <w:szCs w:val="18"/>
              </w:rPr>
              <w:t>责任事项</w:t>
            </w:r>
          </w:p>
        </w:tc>
        <w:tc>
          <w:tcPr>
            <w:tcW w:w="7236"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6" w:hRule="atLeast"/>
        </w:trPr>
        <w:tc>
          <w:tcPr>
            <w:tcW w:w="1056" w:type="dxa"/>
            <w:vAlign w:val="center"/>
          </w:tcPr>
          <w:p>
            <w:pPr>
              <w:spacing w:line="240" w:lineRule="exact"/>
              <w:jc w:val="center"/>
              <w:rPr>
                <w:rFonts w:cs="Times New Roman"/>
                <w:sz w:val="18"/>
                <w:szCs w:val="18"/>
              </w:rPr>
            </w:pPr>
            <w:r>
              <w:rPr>
                <w:rFonts w:hint="eastAsia" w:cs="Times New Roman"/>
                <w:sz w:val="18"/>
                <w:szCs w:val="18"/>
              </w:rPr>
              <w:t>20</w:t>
            </w:r>
          </w:p>
        </w:tc>
        <w:tc>
          <w:tcPr>
            <w:tcW w:w="1005"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928" w:type="dxa"/>
            <w:vAlign w:val="center"/>
          </w:tcPr>
          <w:p>
            <w:pPr>
              <w:spacing w:line="240" w:lineRule="exact"/>
              <w:rPr>
                <w:rFonts w:cs="Times New Roman"/>
                <w:sz w:val="18"/>
                <w:szCs w:val="18"/>
              </w:rPr>
            </w:pPr>
            <w:r>
              <w:rPr>
                <w:rFonts w:hint="eastAsia" w:cs="Times New Roman"/>
                <w:sz w:val="18"/>
                <w:szCs w:val="18"/>
              </w:rPr>
              <w:t>对伪造、变造、涂改林木、林地权属凭证的处罚</w:t>
            </w:r>
          </w:p>
        </w:tc>
        <w:tc>
          <w:tcPr>
            <w:tcW w:w="759" w:type="dxa"/>
            <w:vAlign w:val="center"/>
          </w:tcPr>
          <w:p>
            <w:pPr>
              <w:spacing w:line="240" w:lineRule="exact"/>
              <w:rPr>
                <w:rFonts w:cs="Times New Roman"/>
                <w:sz w:val="18"/>
                <w:szCs w:val="18"/>
              </w:rPr>
            </w:pPr>
            <w:r>
              <w:rPr>
                <w:rFonts w:cs="Times New Roman"/>
                <w:sz w:val="18"/>
                <w:szCs w:val="18"/>
              </w:rPr>
              <w:t>　</w:t>
            </w:r>
          </w:p>
        </w:tc>
        <w:tc>
          <w:tcPr>
            <w:tcW w:w="2010" w:type="dxa"/>
            <w:vAlign w:val="center"/>
          </w:tcPr>
          <w:p>
            <w:pPr>
              <w:spacing w:line="240" w:lineRule="exact"/>
              <w:ind w:firstLine="360" w:firstLineChars="200"/>
              <w:rPr>
                <w:color w:val="000000"/>
                <w:sz w:val="18"/>
                <w:szCs w:val="18"/>
              </w:rPr>
            </w:pPr>
            <w:r>
              <w:rPr>
                <w:rFonts w:cs="Times New Roman"/>
                <w:sz w:val="18"/>
                <w:szCs w:val="18"/>
              </w:rPr>
              <w:t>【</w:t>
            </w:r>
            <w:r>
              <w:rPr>
                <w:rFonts w:hint="eastAsia" w:cs="Times New Roman"/>
                <w:sz w:val="18"/>
                <w:szCs w:val="18"/>
              </w:rPr>
              <w:t>规章</w:t>
            </w:r>
            <w:r>
              <w:rPr>
                <w:rFonts w:cs="Times New Roman"/>
                <w:sz w:val="18"/>
                <w:szCs w:val="18"/>
              </w:rPr>
              <w:t>】《</w:t>
            </w:r>
            <w:r>
              <w:rPr>
                <w:rFonts w:hint="eastAsia" w:cs="Times New Roman"/>
                <w:sz w:val="18"/>
                <w:szCs w:val="18"/>
              </w:rPr>
              <w:t>林木林地权属争议处理办法</w:t>
            </w:r>
            <w:r>
              <w:rPr>
                <w:rFonts w:cs="Times New Roman"/>
                <w:sz w:val="18"/>
                <w:szCs w:val="18"/>
              </w:rPr>
              <w:t>》(</w:t>
            </w:r>
            <w:r>
              <w:rPr>
                <w:rFonts w:hint="eastAsia" w:cs="Times New Roman"/>
                <w:sz w:val="18"/>
                <w:szCs w:val="18"/>
              </w:rPr>
              <w:t>1996年10月14日林业部令[1996]10号发布</w:t>
            </w:r>
            <w:r>
              <w:rPr>
                <w:rFonts w:cs="Times New Roman"/>
                <w:sz w:val="18"/>
                <w:szCs w:val="18"/>
              </w:rPr>
              <w:t>）</w:t>
            </w:r>
            <w:r>
              <w:rPr>
                <w:rFonts w:hint="eastAsia" w:cs="Times New Roman"/>
                <w:sz w:val="18"/>
                <w:szCs w:val="18"/>
              </w:rPr>
              <w:t>第四条</w:t>
            </w:r>
            <w:r>
              <w:rPr>
                <w:rFonts w:cs="Times New Roman"/>
                <w:sz w:val="18"/>
                <w:szCs w:val="18"/>
              </w:rPr>
              <w:t>林权争议由各级人民政府依法作出处理决定。林业部、地方各级人民政府林业行政主管部门或者人民政府设立的林权争议处理机构（以下统称林权争议处理机构）按照管理权限分别负责办理林权争议处理的具体工作。第二十四条伪造、变造、涂改本办法规定的林木、林地权属凭证的，由林权争议处理机构收缴其伪造、变造、涂改的林木、林地权属凭证，并可视情节轻重处以1000元以下罚款。</w:t>
            </w:r>
          </w:p>
        </w:tc>
        <w:tc>
          <w:tcPr>
            <w:tcW w:w="2351"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 xml:space="preserve"> 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236"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905" w:tblpY="112"/>
        <w:tblOverlap w:val="never"/>
        <w:tblW w:w="22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6"/>
        <w:gridCol w:w="893"/>
        <w:gridCol w:w="778"/>
        <w:gridCol w:w="741"/>
        <w:gridCol w:w="5848"/>
        <w:gridCol w:w="1994"/>
        <w:gridCol w:w="5713"/>
        <w:gridCol w:w="1134"/>
        <w:gridCol w:w="3410"/>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096" w:type="dxa"/>
            <w:vAlign w:val="center"/>
          </w:tcPr>
          <w:p>
            <w:pPr>
              <w:spacing w:line="280" w:lineRule="exact"/>
              <w:jc w:val="center"/>
              <w:rPr>
                <w:rFonts w:cs="Times New Roman"/>
                <w:sz w:val="18"/>
                <w:szCs w:val="18"/>
              </w:rPr>
            </w:pPr>
            <w:r>
              <w:rPr>
                <w:rFonts w:cs="Times New Roman"/>
                <w:sz w:val="18"/>
                <w:szCs w:val="18"/>
              </w:rPr>
              <w:t>序号</w:t>
            </w:r>
          </w:p>
        </w:tc>
        <w:tc>
          <w:tcPr>
            <w:tcW w:w="893" w:type="dxa"/>
            <w:vAlign w:val="center"/>
          </w:tcPr>
          <w:p>
            <w:pPr>
              <w:spacing w:line="280" w:lineRule="exact"/>
              <w:jc w:val="center"/>
              <w:rPr>
                <w:rFonts w:cs="Times New Roman"/>
                <w:sz w:val="18"/>
                <w:szCs w:val="18"/>
              </w:rPr>
            </w:pPr>
            <w:r>
              <w:rPr>
                <w:rFonts w:cs="Times New Roman"/>
                <w:sz w:val="18"/>
                <w:szCs w:val="18"/>
              </w:rPr>
              <w:t>权力分类</w:t>
            </w:r>
          </w:p>
        </w:tc>
        <w:tc>
          <w:tcPr>
            <w:tcW w:w="778" w:type="dxa"/>
            <w:vAlign w:val="center"/>
          </w:tcPr>
          <w:p>
            <w:pPr>
              <w:spacing w:line="280" w:lineRule="exact"/>
              <w:jc w:val="center"/>
              <w:rPr>
                <w:rFonts w:cs="Times New Roman"/>
                <w:sz w:val="18"/>
                <w:szCs w:val="18"/>
              </w:rPr>
            </w:pPr>
            <w:r>
              <w:rPr>
                <w:rFonts w:cs="Times New Roman"/>
                <w:sz w:val="18"/>
                <w:szCs w:val="18"/>
              </w:rPr>
              <w:t>项目名称</w:t>
            </w:r>
          </w:p>
        </w:tc>
        <w:tc>
          <w:tcPr>
            <w:tcW w:w="741" w:type="dxa"/>
            <w:vAlign w:val="center"/>
          </w:tcPr>
          <w:p>
            <w:pPr>
              <w:spacing w:line="280" w:lineRule="exact"/>
              <w:jc w:val="center"/>
              <w:rPr>
                <w:rFonts w:cs="Times New Roman"/>
                <w:sz w:val="18"/>
                <w:szCs w:val="18"/>
              </w:rPr>
            </w:pPr>
            <w:r>
              <w:rPr>
                <w:rFonts w:cs="Times New Roman"/>
                <w:sz w:val="18"/>
                <w:szCs w:val="18"/>
              </w:rPr>
              <w:t>子项</w:t>
            </w:r>
          </w:p>
        </w:tc>
        <w:tc>
          <w:tcPr>
            <w:tcW w:w="5848" w:type="dxa"/>
            <w:vAlign w:val="center"/>
          </w:tcPr>
          <w:p>
            <w:pPr>
              <w:spacing w:line="280" w:lineRule="exact"/>
              <w:jc w:val="center"/>
              <w:rPr>
                <w:rFonts w:cs="Times New Roman"/>
                <w:sz w:val="18"/>
                <w:szCs w:val="18"/>
              </w:rPr>
            </w:pPr>
            <w:r>
              <w:rPr>
                <w:rFonts w:cs="Times New Roman"/>
                <w:sz w:val="18"/>
                <w:szCs w:val="18"/>
              </w:rPr>
              <w:t>实施依据</w:t>
            </w:r>
          </w:p>
        </w:tc>
        <w:tc>
          <w:tcPr>
            <w:tcW w:w="1994" w:type="dxa"/>
            <w:vAlign w:val="center"/>
          </w:tcPr>
          <w:p>
            <w:pPr>
              <w:spacing w:line="280" w:lineRule="exact"/>
              <w:jc w:val="center"/>
              <w:rPr>
                <w:rFonts w:cs="Times New Roman"/>
                <w:sz w:val="18"/>
                <w:szCs w:val="18"/>
              </w:rPr>
            </w:pPr>
            <w:r>
              <w:rPr>
                <w:rFonts w:cs="Times New Roman"/>
                <w:sz w:val="18"/>
                <w:szCs w:val="18"/>
              </w:rPr>
              <w:t>责任事项</w:t>
            </w:r>
          </w:p>
        </w:tc>
        <w:tc>
          <w:tcPr>
            <w:tcW w:w="5713" w:type="dxa"/>
            <w:vAlign w:val="center"/>
          </w:tcPr>
          <w:p>
            <w:pPr>
              <w:spacing w:line="280" w:lineRule="exact"/>
              <w:jc w:val="center"/>
              <w:rPr>
                <w:rFonts w:cs="Times New Roman"/>
                <w:sz w:val="18"/>
                <w:szCs w:val="18"/>
              </w:rPr>
            </w:pPr>
            <w:r>
              <w:rPr>
                <w:rFonts w:cs="Times New Roman"/>
                <w:sz w:val="18"/>
                <w:szCs w:val="18"/>
              </w:rPr>
              <w:t>责任事项依据</w:t>
            </w:r>
          </w:p>
        </w:tc>
        <w:tc>
          <w:tcPr>
            <w:tcW w:w="1134" w:type="dxa"/>
            <w:vAlign w:val="center"/>
          </w:tcPr>
          <w:p>
            <w:pPr>
              <w:spacing w:line="280" w:lineRule="exact"/>
              <w:jc w:val="center"/>
              <w:rPr>
                <w:rFonts w:cs="Times New Roman"/>
                <w:sz w:val="18"/>
                <w:szCs w:val="18"/>
              </w:rPr>
            </w:pPr>
            <w:r>
              <w:rPr>
                <w:rFonts w:cs="Times New Roman"/>
                <w:sz w:val="18"/>
                <w:szCs w:val="18"/>
              </w:rPr>
              <w:t>追责情形</w:t>
            </w:r>
          </w:p>
        </w:tc>
        <w:tc>
          <w:tcPr>
            <w:tcW w:w="3410"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1096" w:type="dxa"/>
            <w:vAlign w:val="center"/>
          </w:tcPr>
          <w:p>
            <w:pPr>
              <w:spacing w:line="240" w:lineRule="exact"/>
              <w:jc w:val="center"/>
              <w:rPr>
                <w:rFonts w:cs="Times New Roman"/>
                <w:sz w:val="18"/>
                <w:szCs w:val="18"/>
              </w:rPr>
            </w:pPr>
            <w:r>
              <w:rPr>
                <w:rFonts w:hint="eastAsia" w:cs="Times New Roman"/>
                <w:sz w:val="18"/>
                <w:szCs w:val="18"/>
              </w:rPr>
              <w:t>21</w:t>
            </w:r>
          </w:p>
        </w:tc>
        <w:tc>
          <w:tcPr>
            <w:tcW w:w="893"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78" w:type="dxa"/>
            <w:vAlign w:val="center"/>
          </w:tcPr>
          <w:p>
            <w:pPr>
              <w:spacing w:line="240" w:lineRule="exact"/>
              <w:rPr>
                <w:rFonts w:cs="Times New Roman"/>
                <w:sz w:val="18"/>
                <w:szCs w:val="18"/>
              </w:rPr>
            </w:pPr>
            <w:r>
              <w:rPr>
                <w:rFonts w:cs="Times New Roman"/>
                <w:sz w:val="18"/>
                <w:szCs w:val="18"/>
              </w:rPr>
              <w:t>对非法</w:t>
            </w:r>
            <w:r>
              <w:rPr>
                <w:rFonts w:hint="eastAsia" w:cs="Times New Roman"/>
                <w:sz w:val="18"/>
                <w:szCs w:val="18"/>
              </w:rPr>
              <w:t>猎捕</w:t>
            </w:r>
            <w:r>
              <w:rPr>
                <w:rFonts w:cs="Times New Roman"/>
                <w:sz w:val="18"/>
                <w:szCs w:val="18"/>
              </w:rPr>
              <w:t>陆生野生动物的处罚</w:t>
            </w:r>
          </w:p>
        </w:tc>
        <w:tc>
          <w:tcPr>
            <w:tcW w:w="741" w:type="dxa"/>
            <w:vAlign w:val="center"/>
          </w:tcPr>
          <w:p>
            <w:pPr>
              <w:spacing w:line="240" w:lineRule="exact"/>
              <w:rPr>
                <w:rFonts w:cs="Times New Roman"/>
                <w:sz w:val="18"/>
                <w:szCs w:val="18"/>
              </w:rPr>
            </w:pPr>
            <w:r>
              <w:rPr>
                <w:rFonts w:cs="Times New Roman"/>
                <w:sz w:val="18"/>
                <w:szCs w:val="18"/>
              </w:rPr>
              <w:t>　</w:t>
            </w:r>
          </w:p>
        </w:tc>
        <w:tc>
          <w:tcPr>
            <w:tcW w:w="5848" w:type="dxa"/>
            <w:vAlign w:val="center"/>
          </w:tcPr>
          <w:p>
            <w:pPr>
              <w:shd w:val="clear" w:color="auto" w:fill="FFFFFF"/>
              <w:spacing w:line="240" w:lineRule="exact"/>
              <w:ind w:firstLine="360" w:firstLineChars="200"/>
              <w:rPr>
                <w:rFonts w:cs="Times New Roman"/>
                <w:sz w:val="18"/>
                <w:szCs w:val="18"/>
              </w:rPr>
            </w:pPr>
            <w:r>
              <w:rPr>
                <w:rFonts w:cs="Times New Roman"/>
                <w:sz w:val="18"/>
                <w:szCs w:val="18"/>
              </w:rPr>
              <w:t>【法律】《中华人民共和国野生动物保护法》</w:t>
            </w:r>
            <w:r>
              <w:rPr>
                <w:rFonts w:cs="Times New Roman"/>
                <w:snapToGrid w:val="0"/>
                <w:sz w:val="18"/>
                <w:szCs w:val="18"/>
              </w:rPr>
              <w:t>（1988年11月8日主席令第九号公布，2016年7月2</w:t>
            </w:r>
            <w:r>
              <w:rPr>
                <w:rFonts w:cs="Times New Roman"/>
                <w:sz w:val="18"/>
                <w:szCs w:val="18"/>
              </w:rPr>
              <w:t>日主席令第四十七号第二次修改）</w:t>
            </w:r>
            <w:r>
              <w:rPr>
                <w:rFonts w:hint="eastAsia" w:cs="Times New Roman"/>
                <w:sz w:val="18"/>
                <w:szCs w:val="18"/>
              </w:rPr>
              <w:t>第四十五条　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构成犯罪的，依法追究刑事责任。第四十六条　违反本法第二十条、第二十二条、第二十三条第一款、第二十四条第一款规定，在相关自然保护区域、禁猎（渔）区、禁猎（渔）期猎捕非国家重点保护野生动物，未取得狩猎证、未按照狩猎证规定猎捕非国家重点保护野生动物，或者使用禁用的工具、方法猎捕非国家重点保护野生动物的，由县级以上地方人民政府野生动物保护主管部门或者有关保护区域管理机构按照职责分工没收猎获物、猎捕工具和违法所得，吊销狩猎证，并处猎获物价值一倍以上五倍以下的罚款；没有猎获物的，并处二千元以上一万元以下的罚款；构成犯罪的，依法追究刑事责任。违反本法第二十三条第二款规定，未取得持枪证持枪猎捕野生动物，构成违反治安管理行为的，由公安机关依法给予治安管理处罚；构成犯罪的，依法追究刑事责任。</w:t>
            </w:r>
            <w:r>
              <w:rPr>
                <w:rFonts w:cs="Times New Roman"/>
                <w:sz w:val="18"/>
                <w:szCs w:val="18"/>
              </w:rPr>
              <w:br w:type="textWrapping"/>
            </w:r>
            <w:r>
              <w:rPr>
                <w:rFonts w:cs="Times New Roman"/>
                <w:sz w:val="18"/>
                <w:szCs w:val="18"/>
              </w:rPr>
              <w:t>【法规】《中华人民共和国陆生野生动物保护实施条例》(1992年3月1日林业部令第29号发布，2016年2月6日国务院令第666号修改）　</w:t>
            </w:r>
            <w:r>
              <w:rPr>
                <w:rFonts w:hint="eastAsia" w:cs="Times New Roman"/>
                <w:sz w:val="18"/>
                <w:szCs w:val="18"/>
              </w:rPr>
              <w:t>第三十二条　非法捕杀国家重点保护野生动物的，依照刑法有关规定惩治。第三十三条　违反野生动物保护法规，在禁猎区、禁猎期或者使用禁用的工具、方法猎捕非国家重点保护野生动物，依照《野生动物保护法》第三十二条的规定处以罚款的，按照下列规定执行：（一）有猎获物的，处以相当于猎获物价值八倍以下的罚款；（二）没有猎获物的，处二千元以下罚款。第三十四条　违反野生动物保护法规，未取得狞猪证或者未按照狩猎证规定猎捕非国家重点保护野生动物，依照《野生动物保护法》第三十三条的规定处以罚款的，按照下列规定执行：（一）有猎获物的，处以相当于猎获物价值五倍以下的罚款；（二）没有猎获物的，处一千元以下罚款。</w:t>
            </w:r>
            <w:r>
              <w:rPr>
                <w:rFonts w:cs="Times New Roman"/>
                <w:sz w:val="18"/>
                <w:szCs w:val="18"/>
              </w:rPr>
              <w:br w:type="textWrapping"/>
            </w:r>
            <w:r>
              <w:rPr>
                <w:rFonts w:cs="Times New Roman"/>
                <w:sz w:val="18"/>
                <w:szCs w:val="18"/>
              </w:rPr>
              <w:t>【法规】《广西壮族自治区陆生野生动物保护管理规定》（1994年7月29日广西壮族自治区八届人大常委会第10次会议通过，2012年3月23日第四次修正）第二十四条（一）违法捕杀国家重点保护陆生野生动物，情节显著轻微不需要判处刑罚的，没收猎获物、捕猎工具和违法所得，吊销特许猎捕证，并处以相当于猎获物价值十倍以下的罚款；猎获物价值难以确定的，根据猎获物的种类和数量，并处以十万元以下的罚款；没有猎获物的，处以一万元以下的罚款。（二）在禁猎区、禁猎期或者使用禁用的工具、方法猎捕非国家重点保护陆生野生动物的，没收猎获物、猎捕工具和违法所得，处以相当于猎获物价值八倍以下的罚款；猎获物价值难以确定的，根据猎获物的种类和数量予以处罚，属于自治区重点保护陆生野生动物的，处以八万元以下的罚款，属于非重点保护陆生野生动物的，处以八千元以下的罚款；没有猎获物的，处以二千元以下的罚款；（三）未取得狩猎证或者未按照狩猎规定猎捕非国家重点保护陆生野生动物的，没收猎获物和违法所得，处以相当于猎获物价值五倍以下的罚款；猎获物价值难以确定的，根据猎获物的种类和数量予以处罚，属于自治区重点保护陆生野生动物的，处以五万元以下的罚款，属于非重点保护陆生野生动物的，处以五千元以下的罚款；没有猎获物的，处以一千元以下的罚款；可以并处没收猎捕工具，吊销狩猎证；</w:t>
            </w:r>
          </w:p>
        </w:tc>
        <w:tc>
          <w:tcPr>
            <w:tcW w:w="1994"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 xml:space="preserve"> 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5713"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134"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341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905" w:tblpY="76"/>
        <w:tblOverlap w:val="never"/>
        <w:tblW w:w="22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759"/>
        <w:gridCol w:w="721"/>
        <w:gridCol w:w="910"/>
        <w:gridCol w:w="2921"/>
        <w:gridCol w:w="2353"/>
        <w:gridCol w:w="6923"/>
        <w:gridCol w:w="1419"/>
        <w:gridCol w:w="4657"/>
        <w:gridCol w:w="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849" w:type="dxa"/>
            <w:vAlign w:val="center"/>
          </w:tcPr>
          <w:p>
            <w:pPr>
              <w:spacing w:line="280" w:lineRule="exact"/>
              <w:jc w:val="center"/>
              <w:rPr>
                <w:rFonts w:cs="Times New Roman"/>
                <w:sz w:val="18"/>
                <w:szCs w:val="18"/>
              </w:rPr>
            </w:pPr>
            <w:r>
              <w:rPr>
                <w:rFonts w:cs="Times New Roman"/>
                <w:sz w:val="18"/>
                <w:szCs w:val="18"/>
              </w:rPr>
              <w:t>序号</w:t>
            </w:r>
          </w:p>
        </w:tc>
        <w:tc>
          <w:tcPr>
            <w:tcW w:w="759" w:type="dxa"/>
            <w:vAlign w:val="center"/>
          </w:tcPr>
          <w:p>
            <w:pPr>
              <w:spacing w:line="280" w:lineRule="exact"/>
              <w:jc w:val="center"/>
              <w:rPr>
                <w:rFonts w:cs="Times New Roman"/>
                <w:sz w:val="18"/>
                <w:szCs w:val="18"/>
              </w:rPr>
            </w:pPr>
            <w:r>
              <w:rPr>
                <w:rFonts w:cs="Times New Roman"/>
                <w:sz w:val="18"/>
                <w:szCs w:val="18"/>
              </w:rPr>
              <w:t>权力分类</w:t>
            </w:r>
          </w:p>
        </w:tc>
        <w:tc>
          <w:tcPr>
            <w:tcW w:w="721" w:type="dxa"/>
            <w:vAlign w:val="center"/>
          </w:tcPr>
          <w:p>
            <w:pPr>
              <w:spacing w:line="280" w:lineRule="exact"/>
              <w:jc w:val="center"/>
              <w:rPr>
                <w:rFonts w:cs="Times New Roman"/>
                <w:sz w:val="18"/>
                <w:szCs w:val="18"/>
              </w:rPr>
            </w:pPr>
            <w:r>
              <w:rPr>
                <w:rFonts w:cs="Times New Roman"/>
                <w:sz w:val="18"/>
                <w:szCs w:val="18"/>
              </w:rPr>
              <w:t>项目名称</w:t>
            </w:r>
          </w:p>
        </w:tc>
        <w:tc>
          <w:tcPr>
            <w:tcW w:w="910" w:type="dxa"/>
            <w:vAlign w:val="center"/>
          </w:tcPr>
          <w:p>
            <w:pPr>
              <w:spacing w:line="280" w:lineRule="exact"/>
              <w:jc w:val="center"/>
              <w:rPr>
                <w:rFonts w:cs="Times New Roman"/>
                <w:sz w:val="18"/>
                <w:szCs w:val="18"/>
              </w:rPr>
            </w:pPr>
            <w:r>
              <w:rPr>
                <w:rFonts w:cs="Times New Roman"/>
                <w:sz w:val="18"/>
                <w:szCs w:val="18"/>
              </w:rPr>
              <w:t>子项</w:t>
            </w:r>
          </w:p>
        </w:tc>
        <w:tc>
          <w:tcPr>
            <w:tcW w:w="2921" w:type="dxa"/>
            <w:vAlign w:val="center"/>
          </w:tcPr>
          <w:p>
            <w:pPr>
              <w:spacing w:line="280" w:lineRule="exact"/>
              <w:jc w:val="center"/>
              <w:rPr>
                <w:rFonts w:cs="Times New Roman"/>
                <w:sz w:val="18"/>
                <w:szCs w:val="18"/>
              </w:rPr>
            </w:pPr>
            <w:r>
              <w:rPr>
                <w:rFonts w:cs="Times New Roman"/>
                <w:sz w:val="18"/>
                <w:szCs w:val="18"/>
              </w:rPr>
              <w:t>实施依据</w:t>
            </w:r>
          </w:p>
        </w:tc>
        <w:tc>
          <w:tcPr>
            <w:tcW w:w="2353" w:type="dxa"/>
            <w:vAlign w:val="center"/>
          </w:tcPr>
          <w:p>
            <w:pPr>
              <w:spacing w:line="280" w:lineRule="exact"/>
              <w:jc w:val="center"/>
              <w:rPr>
                <w:rFonts w:cs="Times New Roman"/>
                <w:sz w:val="18"/>
                <w:szCs w:val="18"/>
              </w:rPr>
            </w:pPr>
            <w:r>
              <w:rPr>
                <w:rFonts w:cs="Times New Roman"/>
                <w:sz w:val="18"/>
                <w:szCs w:val="18"/>
              </w:rPr>
              <w:t>责任事项</w:t>
            </w:r>
          </w:p>
        </w:tc>
        <w:tc>
          <w:tcPr>
            <w:tcW w:w="6923" w:type="dxa"/>
            <w:vAlign w:val="center"/>
          </w:tcPr>
          <w:p>
            <w:pPr>
              <w:spacing w:line="280" w:lineRule="exact"/>
              <w:jc w:val="center"/>
              <w:rPr>
                <w:rFonts w:cs="Times New Roman"/>
                <w:sz w:val="18"/>
                <w:szCs w:val="18"/>
              </w:rPr>
            </w:pPr>
            <w:r>
              <w:rPr>
                <w:rFonts w:cs="Times New Roman"/>
                <w:sz w:val="18"/>
                <w:szCs w:val="18"/>
              </w:rPr>
              <w:t>责任事项依据</w:t>
            </w:r>
          </w:p>
        </w:tc>
        <w:tc>
          <w:tcPr>
            <w:tcW w:w="1419" w:type="dxa"/>
            <w:vAlign w:val="center"/>
          </w:tcPr>
          <w:p>
            <w:pPr>
              <w:spacing w:line="280" w:lineRule="exact"/>
              <w:jc w:val="center"/>
              <w:rPr>
                <w:rFonts w:cs="Times New Roman"/>
                <w:sz w:val="18"/>
                <w:szCs w:val="18"/>
              </w:rPr>
            </w:pPr>
            <w:r>
              <w:rPr>
                <w:rFonts w:cs="Times New Roman"/>
                <w:sz w:val="18"/>
                <w:szCs w:val="18"/>
              </w:rPr>
              <w:t>追责情形</w:t>
            </w:r>
          </w:p>
        </w:tc>
        <w:tc>
          <w:tcPr>
            <w:tcW w:w="4657" w:type="dxa"/>
            <w:vAlign w:val="center"/>
          </w:tcPr>
          <w:p>
            <w:pPr>
              <w:spacing w:line="280" w:lineRule="exact"/>
              <w:jc w:val="center"/>
              <w:rPr>
                <w:rFonts w:cs="Times New Roman"/>
                <w:sz w:val="18"/>
                <w:szCs w:val="18"/>
              </w:rPr>
            </w:pPr>
            <w:r>
              <w:rPr>
                <w:rFonts w:cs="Times New Roman"/>
                <w:sz w:val="18"/>
                <w:szCs w:val="18"/>
              </w:rPr>
              <w:t>追责依据</w:t>
            </w:r>
          </w:p>
        </w:tc>
        <w:tc>
          <w:tcPr>
            <w:tcW w:w="608"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1" w:hRule="atLeast"/>
        </w:trPr>
        <w:tc>
          <w:tcPr>
            <w:tcW w:w="849" w:type="dxa"/>
            <w:vAlign w:val="center"/>
          </w:tcPr>
          <w:p>
            <w:pPr>
              <w:spacing w:line="240" w:lineRule="exact"/>
              <w:jc w:val="center"/>
              <w:rPr>
                <w:rFonts w:cs="Times New Roman"/>
                <w:sz w:val="18"/>
                <w:szCs w:val="18"/>
              </w:rPr>
            </w:pPr>
            <w:r>
              <w:rPr>
                <w:rFonts w:hint="eastAsia" w:cs="Times New Roman"/>
                <w:sz w:val="18"/>
                <w:szCs w:val="18"/>
              </w:rPr>
              <w:t>22</w:t>
            </w:r>
          </w:p>
        </w:tc>
        <w:tc>
          <w:tcPr>
            <w:tcW w:w="759"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21" w:type="dxa"/>
            <w:vAlign w:val="center"/>
          </w:tcPr>
          <w:p>
            <w:pPr>
              <w:spacing w:line="240" w:lineRule="exact"/>
              <w:rPr>
                <w:rFonts w:cs="Times New Roman"/>
                <w:sz w:val="18"/>
                <w:szCs w:val="18"/>
              </w:rPr>
            </w:pPr>
            <w:r>
              <w:rPr>
                <w:rFonts w:hint="eastAsia" w:cs="Times New Roman"/>
                <w:sz w:val="18"/>
                <w:szCs w:val="18"/>
              </w:rPr>
              <w:t>对违法采挖树蔸、树木行为的处罚</w:t>
            </w:r>
          </w:p>
        </w:tc>
        <w:tc>
          <w:tcPr>
            <w:tcW w:w="910" w:type="dxa"/>
            <w:vAlign w:val="center"/>
          </w:tcPr>
          <w:p>
            <w:pPr>
              <w:spacing w:line="240" w:lineRule="exact"/>
              <w:rPr>
                <w:rFonts w:cs="Times New Roman"/>
                <w:sz w:val="18"/>
                <w:szCs w:val="18"/>
              </w:rPr>
            </w:pPr>
            <w:r>
              <w:rPr>
                <w:rFonts w:cs="Times New Roman"/>
                <w:sz w:val="18"/>
                <w:szCs w:val="18"/>
              </w:rPr>
              <w:t>　</w:t>
            </w:r>
          </w:p>
        </w:tc>
        <w:tc>
          <w:tcPr>
            <w:tcW w:w="2921" w:type="dxa"/>
            <w:vAlign w:val="center"/>
          </w:tcPr>
          <w:p>
            <w:pPr>
              <w:spacing w:line="240" w:lineRule="exact"/>
              <w:ind w:firstLine="360" w:firstLineChars="200"/>
              <w:rPr>
                <w:rFonts w:cs="Times New Roman"/>
                <w:sz w:val="18"/>
                <w:szCs w:val="18"/>
              </w:rPr>
            </w:pPr>
            <w:r>
              <w:rPr>
                <w:rFonts w:cs="Times New Roman"/>
                <w:sz w:val="18"/>
                <w:szCs w:val="18"/>
              </w:rPr>
              <w:t>【</w:t>
            </w:r>
            <w:r>
              <w:rPr>
                <w:rFonts w:hint="eastAsia" w:cs="Times New Roman"/>
                <w:sz w:val="18"/>
                <w:szCs w:val="18"/>
              </w:rPr>
              <w:t>规章</w:t>
            </w:r>
            <w:r>
              <w:rPr>
                <w:rFonts w:cs="Times New Roman"/>
                <w:sz w:val="18"/>
                <w:szCs w:val="18"/>
              </w:rPr>
              <w:t>】《</w:t>
            </w:r>
            <w:r>
              <w:rPr>
                <w:rFonts w:hint="eastAsia" w:cs="Times New Roman"/>
                <w:sz w:val="18"/>
                <w:szCs w:val="18"/>
              </w:rPr>
              <w:t>广西壮族自治区树蔸树木采挖流通管理规定</w:t>
            </w:r>
            <w:r>
              <w:rPr>
                <w:rFonts w:cs="Times New Roman"/>
                <w:sz w:val="18"/>
                <w:szCs w:val="18"/>
              </w:rPr>
              <w:t>》(</w:t>
            </w:r>
            <w:r>
              <w:rPr>
                <w:rFonts w:hint="eastAsia" w:cs="Times New Roman"/>
                <w:sz w:val="18"/>
                <w:szCs w:val="18"/>
              </w:rPr>
              <w:t>2002年12月20日广西壮族自治区人民政府令第11号发布，2016年9月26日广西壮族自治区人民政府令第112号修改</w:t>
            </w:r>
            <w:r>
              <w:rPr>
                <w:rFonts w:cs="Times New Roman"/>
                <w:sz w:val="18"/>
                <w:szCs w:val="18"/>
              </w:rPr>
              <w:t>）　第十七条　违反本规定，未取得采挖许可证采挖树蔸树木的，由县级以上林业主管部门责令停止违法行为，补种采挖株数3倍至5倍的树木，可以处100元以上3000元以下的罚款；在禁挖区内采挖树蔸树木或者采挖法律、法规和本规定禁止采挖的树木的，以及采挖的树蔸树木株数较大的，可以处500元以上1万元以下的罚款；拒不补种或者补种不符合国家有关规定的，由县级以上林业主管部门组织代为补种，所需费用由违法者支付。第十八条　违反本规定，采挖人未按照采挖许可证核定的地点、采挖方式和技术要求采挖树蔸树木的，由县级以上林业主管部门责令改正，可以处100元以上2000元以下的罚款。采挖人未按照采挖许可证核定的树种或者超越采挖许可证核定的数量采挖树蔸树木的，视为未取得采挖许可证采挖树蔸树木，依照本规定第十七条规定处理。第十九条　违反本规定，采挖人采挖树蔸树木后未即时采取填埋采挖坑口等水土保持措施的，由县级以上林业主管部门责令限期改正；逾期不改正的，可以处50元以上1000元以下的罚款，并由县级以上林业主管部门组织代为采取填埋采挖坑口等水土保持措施，所需费用由违法者支付。</w:t>
            </w:r>
          </w:p>
          <w:p>
            <w:pPr>
              <w:spacing w:line="240" w:lineRule="exact"/>
              <w:ind w:firstLine="360" w:firstLineChars="200"/>
              <w:rPr>
                <w:rFonts w:cs="Times New Roman"/>
                <w:sz w:val="18"/>
                <w:szCs w:val="18"/>
              </w:rPr>
            </w:pPr>
            <w:r>
              <w:rPr>
                <w:rFonts w:cs="Times New Roman"/>
                <w:sz w:val="18"/>
                <w:szCs w:val="18"/>
              </w:rPr>
              <w:br w:type="textWrapping"/>
            </w:r>
          </w:p>
        </w:tc>
        <w:tc>
          <w:tcPr>
            <w:tcW w:w="2353"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923"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419"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57"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08"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tbl>
      <w:tblPr>
        <w:tblStyle w:val="7"/>
        <w:tblW w:w="22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721"/>
        <w:gridCol w:w="817"/>
        <w:gridCol w:w="968"/>
        <w:gridCol w:w="2051"/>
        <w:gridCol w:w="2563"/>
        <w:gridCol w:w="7471"/>
        <w:gridCol w:w="1556"/>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753" w:type="dxa"/>
            <w:vAlign w:val="center"/>
          </w:tcPr>
          <w:p>
            <w:pPr>
              <w:spacing w:line="280" w:lineRule="exact"/>
              <w:jc w:val="center"/>
              <w:rPr>
                <w:rFonts w:cs="Times New Roman"/>
                <w:sz w:val="18"/>
                <w:szCs w:val="18"/>
              </w:rPr>
            </w:pPr>
            <w:r>
              <w:rPr>
                <w:rFonts w:cs="Times New Roman"/>
                <w:sz w:val="18"/>
                <w:szCs w:val="18"/>
              </w:rPr>
              <w:t>序号</w:t>
            </w:r>
          </w:p>
        </w:tc>
        <w:tc>
          <w:tcPr>
            <w:tcW w:w="721" w:type="dxa"/>
            <w:vAlign w:val="center"/>
          </w:tcPr>
          <w:p>
            <w:pPr>
              <w:spacing w:line="280" w:lineRule="exact"/>
              <w:jc w:val="center"/>
              <w:rPr>
                <w:rFonts w:cs="Times New Roman"/>
                <w:sz w:val="18"/>
                <w:szCs w:val="18"/>
              </w:rPr>
            </w:pPr>
            <w:r>
              <w:rPr>
                <w:rFonts w:cs="Times New Roman"/>
                <w:sz w:val="18"/>
                <w:szCs w:val="18"/>
              </w:rPr>
              <w:t>权力分类</w:t>
            </w:r>
          </w:p>
        </w:tc>
        <w:tc>
          <w:tcPr>
            <w:tcW w:w="817" w:type="dxa"/>
            <w:vAlign w:val="center"/>
          </w:tcPr>
          <w:p>
            <w:pPr>
              <w:spacing w:line="280" w:lineRule="exact"/>
              <w:jc w:val="center"/>
              <w:rPr>
                <w:rFonts w:cs="Times New Roman"/>
                <w:sz w:val="18"/>
                <w:szCs w:val="18"/>
              </w:rPr>
            </w:pPr>
            <w:r>
              <w:rPr>
                <w:rFonts w:cs="Times New Roman"/>
                <w:sz w:val="18"/>
                <w:szCs w:val="18"/>
              </w:rPr>
              <w:t>项目名称</w:t>
            </w:r>
          </w:p>
        </w:tc>
        <w:tc>
          <w:tcPr>
            <w:tcW w:w="968" w:type="dxa"/>
            <w:vAlign w:val="center"/>
          </w:tcPr>
          <w:p>
            <w:pPr>
              <w:spacing w:line="280" w:lineRule="exact"/>
              <w:jc w:val="center"/>
              <w:rPr>
                <w:rFonts w:cs="Times New Roman"/>
                <w:sz w:val="18"/>
                <w:szCs w:val="18"/>
              </w:rPr>
            </w:pPr>
            <w:r>
              <w:rPr>
                <w:rFonts w:cs="Times New Roman"/>
                <w:sz w:val="18"/>
                <w:szCs w:val="18"/>
              </w:rPr>
              <w:t>子项</w:t>
            </w:r>
          </w:p>
        </w:tc>
        <w:tc>
          <w:tcPr>
            <w:tcW w:w="2051" w:type="dxa"/>
            <w:vAlign w:val="center"/>
          </w:tcPr>
          <w:p>
            <w:pPr>
              <w:spacing w:line="280" w:lineRule="exact"/>
              <w:jc w:val="center"/>
              <w:rPr>
                <w:rFonts w:cs="Times New Roman"/>
                <w:sz w:val="18"/>
                <w:szCs w:val="18"/>
              </w:rPr>
            </w:pPr>
            <w:r>
              <w:rPr>
                <w:rFonts w:cs="Times New Roman"/>
                <w:sz w:val="18"/>
                <w:szCs w:val="18"/>
              </w:rPr>
              <w:t>实施依据</w:t>
            </w:r>
          </w:p>
        </w:tc>
        <w:tc>
          <w:tcPr>
            <w:tcW w:w="2563" w:type="dxa"/>
            <w:vAlign w:val="center"/>
          </w:tcPr>
          <w:p>
            <w:pPr>
              <w:spacing w:line="280" w:lineRule="exact"/>
              <w:jc w:val="center"/>
              <w:rPr>
                <w:rFonts w:cs="Times New Roman"/>
                <w:sz w:val="18"/>
                <w:szCs w:val="18"/>
              </w:rPr>
            </w:pPr>
            <w:r>
              <w:rPr>
                <w:rFonts w:cs="Times New Roman"/>
                <w:sz w:val="18"/>
                <w:szCs w:val="18"/>
              </w:rPr>
              <w:t>责任事项</w:t>
            </w:r>
          </w:p>
        </w:tc>
        <w:tc>
          <w:tcPr>
            <w:tcW w:w="7471" w:type="dxa"/>
            <w:vAlign w:val="center"/>
          </w:tcPr>
          <w:p>
            <w:pPr>
              <w:spacing w:line="280" w:lineRule="exact"/>
              <w:jc w:val="center"/>
              <w:rPr>
                <w:rFonts w:cs="Times New Roman"/>
                <w:sz w:val="18"/>
                <w:szCs w:val="18"/>
              </w:rPr>
            </w:pPr>
            <w:r>
              <w:rPr>
                <w:rFonts w:cs="Times New Roman"/>
                <w:sz w:val="18"/>
                <w:szCs w:val="18"/>
              </w:rPr>
              <w:t>责任事项依据</w:t>
            </w:r>
          </w:p>
        </w:tc>
        <w:tc>
          <w:tcPr>
            <w:tcW w:w="1556"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5" w:hRule="atLeast"/>
          <w:jc w:val="center"/>
        </w:trPr>
        <w:tc>
          <w:tcPr>
            <w:tcW w:w="753" w:type="dxa"/>
            <w:vAlign w:val="center"/>
          </w:tcPr>
          <w:p>
            <w:pPr>
              <w:spacing w:line="240" w:lineRule="exact"/>
              <w:jc w:val="center"/>
              <w:rPr>
                <w:rFonts w:cs="Times New Roman"/>
                <w:sz w:val="18"/>
                <w:szCs w:val="18"/>
              </w:rPr>
            </w:pPr>
            <w:r>
              <w:rPr>
                <w:rFonts w:hint="eastAsia" w:cs="Times New Roman"/>
                <w:sz w:val="18"/>
                <w:szCs w:val="18"/>
              </w:rPr>
              <w:t>23</w:t>
            </w:r>
          </w:p>
        </w:tc>
        <w:tc>
          <w:tcPr>
            <w:tcW w:w="72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17" w:type="dxa"/>
            <w:vAlign w:val="center"/>
          </w:tcPr>
          <w:p>
            <w:pPr>
              <w:spacing w:line="240" w:lineRule="exact"/>
              <w:rPr>
                <w:rFonts w:cs="Times New Roman"/>
                <w:sz w:val="18"/>
                <w:szCs w:val="18"/>
              </w:rPr>
            </w:pPr>
            <w:r>
              <w:rPr>
                <w:rFonts w:hint="eastAsia" w:cs="Times New Roman"/>
                <w:sz w:val="18"/>
                <w:szCs w:val="18"/>
              </w:rPr>
              <w:t>对销售未经检验或者检验不合格的商品林木种苗的处罚</w:t>
            </w:r>
          </w:p>
        </w:tc>
        <w:tc>
          <w:tcPr>
            <w:tcW w:w="968" w:type="dxa"/>
            <w:vAlign w:val="center"/>
          </w:tcPr>
          <w:p>
            <w:pPr>
              <w:spacing w:line="240" w:lineRule="exact"/>
              <w:rPr>
                <w:rFonts w:cs="Times New Roman"/>
                <w:sz w:val="18"/>
                <w:szCs w:val="18"/>
              </w:rPr>
            </w:pPr>
            <w:r>
              <w:rPr>
                <w:rFonts w:cs="Times New Roman"/>
                <w:sz w:val="18"/>
                <w:szCs w:val="18"/>
              </w:rPr>
              <w:t>　</w:t>
            </w:r>
          </w:p>
        </w:tc>
        <w:tc>
          <w:tcPr>
            <w:tcW w:w="2051" w:type="dxa"/>
            <w:vAlign w:val="center"/>
          </w:tcPr>
          <w:p>
            <w:pPr>
              <w:spacing w:line="240" w:lineRule="exact"/>
              <w:ind w:firstLine="270" w:firstLineChars="150"/>
              <w:rPr>
                <w:color w:val="000000"/>
                <w:sz w:val="18"/>
                <w:szCs w:val="18"/>
              </w:rPr>
            </w:pPr>
            <w:r>
              <w:rPr>
                <w:rFonts w:cs="Times New Roman"/>
                <w:sz w:val="18"/>
                <w:szCs w:val="18"/>
              </w:rPr>
              <w:t>【法规】《</w:t>
            </w:r>
            <w:r>
              <w:rPr>
                <w:rFonts w:hint="eastAsia" w:cs="Times New Roman"/>
                <w:sz w:val="18"/>
                <w:szCs w:val="18"/>
              </w:rPr>
              <w:t>广西壮族自治区林木种苗管理</w:t>
            </w:r>
            <w:r>
              <w:rPr>
                <w:rFonts w:cs="Times New Roman"/>
                <w:sz w:val="18"/>
                <w:szCs w:val="18"/>
              </w:rPr>
              <w:t>条例》(</w:t>
            </w:r>
            <w:r>
              <w:rPr>
                <w:rFonts w:hint="eastAsia" w:cs="Times New Roman"/>
                <w:sz w:val="18"/>
                <w:szCs w:val="18"/>
              </w:rPr>
              <w:t>2008年8月1日广西壮族自治区第十一届人民代表大会常务委员会第三次会议通过，2016年11月30日广西</w:t>
            </w:r>
            <w:r>
              <w:rPr>
                <w:rFonts w:cs="Times New Roman"/>
                <w:sz w:val="18"/>
                <w:szCs w:val="18"/>
              </w:rPr>
              <w:t>壮族自治区人大常委会公告12届第63号</w:t>
            </w:r>
            <w:r>
              <w:rPr>
                <w:rFonts w:hint="eastAsia" w:cs="Times New Roman"/>
                <w:sz w:val="18"/>
                <w:szCs w:val="18"/>
              </w:rPr>
              <w:t>修改</w:t>
            </w:r>
            <w:r>
              <w:rPr>
                <w:rFonts w:cs="Times New Roman"/>
                <w:sz w:val="18"/>
                <w:szCs w:val="18"/>
              </w:rPr>
              <w:t>）</w:t>
            </w:r>
            <w:r>
              <w:rPr>
                <w:rFonts w:hint="eastAsia" w:cs="Times New Roman"/>
                <w:sz w:val="18"/>
                <w:szCs w:val="18"/>
              </w:rPr>
              <w:t>第二十八条　违反本条例第十七条规定，销售未经检验或者检验不合格的商品林木种苗的，由县级以上人民政府林业行政主管部门责令改正，没收林木种苗和违法所得；造成林木种苗使用者经济损失的，依照本条例第三十一条的规定赔偿。</w:t>
            </w:r>
          </w:p>
        </w:tc>
        <w:tc>
          <w:tcPr>
            <w:tcW w:w="2563"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 xml:space="preserve"> 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71" w:type="dxa"/>
            <w:vAlign w:val="center"/>
          </w:tcPr>
          <w:p>
            <w:pPr>
              <w:spacing w:line="240" w:lineRule="exact"/>
              <w:ind w:firstLine="36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6"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702"/>
        <w:gridCol w:w="836"/>
        <w:gridCol w:w="778"/>
        <w:gridCol w:w="2109"/>
        <w:gridCol w:w="2692"/>
        <w:gridCol w:w="7459"/>
        <w:gridCol w:w="1557"/>
        <w:gridCol w:w="4674"/>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782" w:type="dxa"/>
            <w:vAlign w:val="center"/>
          </w:tcPr>
          <w:p>
            <w:pPr>
              <w:spacing w:line="280" w:lineRule="exact"/>
              <w:jc w:val="center"/>
              <w:rPr>
                <w:rFonts w:cs="Times New Roman"/>
                <w:sz w:val="18"/>
                <w:szCs w:val="18"/>
              </w:rPr>
            </w:pPr>
            <w:r>
              <w:rPr>
                <w:rFonts w:cs="Times New Roman"/>
                <w:sz w:val="18"/>
                <w:szCs w:val="18"/>
              </w:rPr>
              <w:t>序号</w:t>
            </w:r>
          </w:p>
        </w:tc>
        <w:tc>
          <w:tcPr>
            <w:tcW w:w="702" w:type="dxa"/>
            <w:vAlign w:val="center"/>
          </w:tcPr>
          <w:p>
            <w:pPr>
              <w:spacing w:line="280" w:lineRule="exact"/>
              <w:jc w:val="center"/>
              <w:rPr>
                <w:rFonts w:cs="Times New Roman"/>
                <w:sz w:val="18"/>
                <w:szCs w:val="18"/>
              </w:rPr>
            </w:pPr>
            <w:r>
              <w:rPr>
                <w:rFonts w:cs="Times New Roman"/>
                <w:sz w:val="18"/>
                <w:szCs w:val="18"/>
              </w:rPr>
              <w:t>权力分类</w:t>
            </w:r>
          </w:p>
        </w:tc>
        <w:tc>
          <w:tcPr>
            <w:tcW w:w="836" w:type="dxa"/>
            <w:vAlign w:val="center"/>
          </w:tcPr>
          <w:p>
            <w:pPr>
              <w:spacing w:line="280" w:lineRule="exact"/>
              <w:jc w:val="center"/>
              <w:rPr>
                <w:rFonts w:cs="Times New Roman"/>
                <w:sz w:val="18"/>
                <w:szCs w:val="18"/>
              </w:rPr>
            </w:pPr>
            <w:r>
              <w:rPr>
                <w:rFonts w:cs="Times New Roman"/>
                <w:sz w:val="18"/>
                <w:szCs w:val="18"/>
              </w:rPr>
              <w:t>项目名称</w:t>
            </w:r>
          </w:p>
        </w:tc>
        <w:tc>
          <w:tcPr>
            <w:tcW w:w="778" w:type="dxa"/>
            <w:vAlign w:val="center"/>
          </w:tcPr>
          <w:p>
            <w:pPr>
              <w:spacing w:line="280" w:lineRule="exact"/>
              <w:jc w:val="center"/>
              <w:rPr>
                <w:rFonts w:cs="Times New Roman"/>
                <w:sz w:val="18"/>
                <w:szCs w:val="18"/>
              </w:rPr>
            </w:pPr>
            <w:r>
              <w:rPr>
                <w:rFonts w:cs="Times New Roman"/>
                <w:sz w:val="18"/>
                <w:szCs w:val="18"/>
              </w:rPr>
              <w:t>子项</w:t>
            </w:r>
          </w:p>
        </w:tc>
        <w:tc>
          <w:tcPr>
            <w:tcW w:w="2109" w:type="dxa"/>
            <w:vAlign w:val="center"/>
          </w:tcPr>
          <w:p>
            <w:pPr>
              <w:spacing w:line="280" w:lineRule="exact"/>
              <w:jc w:val="center"/>
              <w:rPr>
                <w:rFonts w:cs="Times New Roman"/>
                <w:sz w:val="18"/>
                <w:szCs w:val="18"/>
              </w:rPr>
            </w:pPr>
            <w:r>
              <w:rPr>
                <w:rFonts w:cs="Times New Roman"/>
                <w:sz w:val="18"/>
                <w:szCs w:val="18"/>
              </w:rPr>
              <w:t>实施依据</w:t>
            </w:r>
          </w:p>
        </w:tc>
        <w:tc>
          <w:tcPr>
            <w:tcW w:w="2692" w:type="dxa"/>
            <w:vAlign w:val="center"/>
          </w:tcPr>
          <w:p>
            <w:pPr>
              <w:spacing w:line="280" w:lineRule="exact"/>
              <w:jc w:val="center"/>
              <w:rPr>
                <w:rFonts w:cs="Times New Roman"/>
                <w:sz w:val="18"/>
                <w:szCs w:val="18"/>
              </w:rPr>
            </w:pPr>
            <w:r>
              <w:rPr>
                <w:rFonts w:cs="Times New Roman"/>
                <w:sz w:val="18"/>
                <w:szCs w:val="18"/>
              </w:rPr>
              <w:t>责任事项</w:t>
            </w:r>
          </w:p>
        </w:tc>
        <w:tc>
          <w:tcPr>
            <w:tcW w:w="7459"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4"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6" w:hRule="atLeast"/>
          <w:jc w:val="center"/>
        </w:trPr>
        <w:tc>
          <w:tcPr>
            <w:tcW w:w="782" w:type="dxa"/>
            <w:vAlign w:val="center"/>
          </w:tcPr>
          <w:p>
            <w:pPr>
              <w:spacing w:line="240" w:lineRule="exact"/>
              <w:jc w:val="center"/>
              <w:rPr>
                <w:rFonts w:cs="Times New Roman"/>
                <w:sz w:val="18"/>
                <w:szCs w:val="18"/>
              </w:rPr>
            </w:pPr>
            <w:r>
              <w:rPr>
                <w:rFonts w:hint="eastAsia" w:cs="Times New Roman"/>
                <w:sz w:val="18"/>
                <w:szCs w:val="18"/>
              </w:rPr>
              <w:t>24</w:t>
            </w:r>
          </w:p>
        </w:tc>
        <w:tc>
          <w:tcPr>
            <w:tcW w:w="702"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36" w:type="dxa"/>
            <w:vAlign w:val="center"/>
          </w:tcPr>
          <w:p>
            <w:pPr>
              <w:spacing w:line="240" w:lineRule="exact"/>
              <w:rPr>
                <w:rFonts w:cs="Times New Roman"/>
                <w:sz w:val="18"/>
                <w:szCs w:val="18"/>
              </w:rPr>
            </w:pPr>
            <w:r>
              <w:rPr>
                <w:rFonts w:cs="Times New Roman"/>
                <w:sz w:val="18"/>
                <w:szCs w:val="18"/>
              </w:rPr>
              <w:t>对在自然保护区、禁猎区破坏国家或者地方重点保护陆生野生动物主要生息繁衍场所的处罚</w:t>
            </w:r>
          </w:p>
        </w:tc>
        <w:tc>
          <w:tcPr>
            <w:tcW w:w="778" w:type="dxa"/>
            <w:vAlign w:val="center"/>
          </w:tcPr>
          <w:p>
            <w:pPr>
              <w:spacing w:line="240" w:lineRule="exact"/>
              <w:rPr>
                <w:rFonts w:cs="Times New Roman"/>
                <w:sz w:val="18"/>
                <w:szCs w:val="18"/>
              </w:rPr>
            </w:pPr>
            <w:r>
              <w:rPr>
                <w:rFonts w:cs="Times New Roman"/>
                <w:sz w:val="18"/>
                <w:szCs w:val="18"/>
              </w:rPr>
              <w:t>　</w:t>
            </w:r>
          </w:p>
        </w:tc>
        <w:tc>
          <w:tcPr>
            <w:tcW w:w="2109" w:type="dxa"/>
            <w:vAlign w:val="center"/>
          </w:tcPr>
          <w:p>
            <w:pPr>
              <w:spacing w:line="240" w:lineRule="exact"/>
              <w:ind w:firstLine="270" w:firstLineChars="150"/>
              <w:rPr>
                <w:color w:val="000000"/>
                <w:sz w:val="18"/>
                <w:szCs w:val="18"/>
              </w:rPr>
            </w:pPr>
            <w:r>
              <w:rPr>
                <w:rFonts w:cs="Times New Roman"/>
                <w:sz w:val="18"/>
                <w:szCs w:val="18"/>
              </w:rPr>
              <w:t>【法规】《中华人民共和国陆生野生动物保护实施条例》(1992年3月1日林业部令第29号发布，2016年2月6日国务院令第666号修改）第三十五条　违反野生动物保护法规，在自然保护区、禁猎区破坏国家或者地方重点保护野生动物主要生息繁衍场所，依照《野生动物保护法》第三十四条的规定处以罚款的，按照相当于恢复原状所需费用</w:t>
            </w:r>
            <w:r>
              <w:rPr>
                <w:rFonts w:hint="eastAsia" w:cs="Times New Roman"/>
                <w:sz w:val="18"/>
                <w:szCs w:val="18"/>
              </w:rPr>
              <w:t>三</w:t>
            </w:r>
            <w:r>
              <w:rPr>
                <w:rFonts w:cs="Times New Roman"/>
                <w:sz w:val="18"/>
                <w:szCs w:val="18"/>
              </w:rPr>
              <w:t>倍以下的标准执行。在自然保护区、禁猎区破坏非国家或者地方重点保护野生动物主要生息繁衍场所的，由野生动物行政主管部门责令停止破坏行为，限期恢复原状，并处以恢复原状所需费用</w:t>
            </w:r>
            <w:r>
              <w:rPr>
                <w:rFonts w:hint="eastAsia" w:cs="Times New Roman"/>
                <w:sz w:val="18"/>
                <w:szCs w:val="18"/>
              </w:rPr>
              <w:t>二</w:t>
            </w:r>
            <w:r>
              <w:rPr>
                <w:rFonts w:cs="Times New Roman"/>
                <w:sz w:val="18"/>
                <w:szCs w:val="18"/>
              </w:rPr>
              <w:t>倍以下的罚款。</w:t>
            </w:r>
          </w:p>
        </w:tc>
        <w:tc>
          <w:tcPr>
            <w:tcW w:w="2692"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59"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40"/>
        <w:gridCol w:w="722"/>
        <w:gridCol w:w="835"/>
        <w:gridCol w:w="3919"/>
        <w:gridCol w:w="2104"/>
        <w:gridCol w:w="6202"/>
        <w:gridCol w:w="1553"/>
        <w:gridCol w:w="4657"/>
        <w:gridCol w:w="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780"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722" w:type="dxa"/>
            <w:vAlign w:val="center"/>
          </w:tcPr>
          <w:p>
            <w:pPr>
              <w:spacing w:line="280" w:lineRule="exact"/>
              <w:jc w:val="center"/>
              <w:rPr>
                <w:rFonts w:cs="Times New Roman"/>
                <w:sz w:val="18"/>
                <w:szCs w:val="18"/>
              </w:rPr>
            </w:pPr>
            <w:r>
              <w:rPr>
                <w:rFonts w:cs="Times New Roman"/>
                <w:sz w:val="18"/>
                <w:szCs w:val="18"/>
              </w:rPr>
              <w:t>项目名称</w:t>
            </w:r>
          </w:p>
        </w:tc>
        <w:tc>
          <w:tcPr>
            <w:tcW w:w="835" w:type="dxa"/>
            <w:vAlign w:val="center"/>
          </w:tcPr>
          <w:p>
            <w:pPr>
              <w:spacing w:line="280" w:lineRule="exact"/>
              <w:jc w:val="center"/>
              <w:rPr>
                <w:rFonts w:cs="Times New Roman"/>
                <w:sz w:val="18"/>
                <w:szCs w:val="18"/>
              </w:rPr>
            </w:pPr>
            <w:r>
              <w:rPr>
                <w:rFonts w:cs="Times New Roman"/>
                <w:sz w:val="18"/>
                <w:szCs w:val="18"/>
              </w:rPr>
              <w:t>子项</w:t>
            </w:r>
          </w:p>
        </w:tc>
        <w:tc>
          <w:tcPr>
            <w:tcW w:w="3919" w:type="dxa"/>
            <w:vAlign w:val="center"/>
          </w:tcPr>
          <w:p>
            <w:pPr>
              <w:spacing w:line="280" w:lineRule="exact"/>
              <w:jc w:val="center"/>
              <w:rPr>
                <w:rFonts w:cs="Times New Roman"/>
                <w:sz w:val="18"/>
                <w:szCs w:val="18"/>
              </w:rPr>
            </w:pPr>
            <w:r>
              <w:rPr>
                <w:rFonts w:cs="Times New Roman"/>
                <w:sz w:val="18"/>
                <w:szCs w:val="18"/>
              </w:rPr>
              <w:t>实施依据</w:t>
            </w:r>
          </w:p>
        </w:tc>
        <w:tc>
          <w:tcPr>
            <w:tcW w:w="2104" w:type="dxa"/>
            <w:vAlign w:val="center"/>
          </w:tcPr>
          <w:p>
            <w:pPr>
              <w:spacing w:line="280" w:lineRule="exact"/>
              <w:jc w:val="center"/>
              <w:rPr>
                <w:rFonts w:cs="Times New Roman"/>
                <w:sz w:val="18"/>
                <w:szCs w:val="18"/>
              </w:rPr>
            </w:pPr>
            <w:r>
              <w:rPr>
                <w:rFonts w:cs="Times New Roman"/>
                <w:sz w:val="18"/>
                <w:szCs w:val="18"/>
              </w:rPr>
              <w:t>责任事项</w:t>
            </w:r>
          </w:p>
        </w:tc>
        <w:tc>
          <w:tcPr>
            <w:tcW w:w="6202" w:type="dxa"/>
            <w:vAlign w:val="center"/>
          </w:tcPr>
          <w:p>
            <w:pPr>
              <w:spacing w:line="280" w:lineRule="exact"/>
              <w:jc w:val="center"/>
              <w:rPr>
                <w:rFonts w:cs="Times New Roman"/>
                <w:sz w:val="18"/>
                <w:szCs w:val="18"/>
              </w:rPr>
            </w:pPr>
            <w:r>
              <w:rPr>
                <w:rFonts w:cs="Times New Roman"/>
                <w:sz w:val="18"/>
                <w:szCs w:val="18"/>
              </w:rPr>
              <w:t>责任事项依据</w:t>
            </w:r>
          </w:p>
        </w:tc>
        <w:tc>
          <w:tcPr>
            <w:tcW w:w="1553" w:type="dxa"/>
            <w:vAlign w:val="center"/>
          </w:tcPr>
          <w:p>
            <w:pPr>
              <w:spacing w:line="280" w:lineRule="exact"/>
              <w:jc w:val="center"/>
              <w:rPr>
                <w:rFonts w:cs="Times New Roman"/>
                <w:sz w:val="18"/>
                <w:szCs w:val="18"/>
              </w:rPr>
            </w:pPr>
            <w:r>
              <w:rPr>
                <w:rFonts w:cs="Times New Roman"/>
                <w:sz w:val="18"/>
                <w:szCs w:val="18"/>
              </w:rPr>
              <w:t>追责情形</w:t>
            </w:r>
          </w:p>
        </w:tc>
        <w:tc>
          <w:tcPr>
            <w:tcW w:w="4657" w:type="dxa"/>
            <w:vAlign w:val="center"/>
          </w:tcPr>
          <w:p>
            <w:pPr>
              <w:spacing w:line="280" w:lineRule="exact"/>
              <w:jc w:val="center"/>
              <w:rPr>
                <w:rFonts w:cs="Times New Roman"/>
                <w:sz w:val="18"/>
                <w:szCs w:val="18"/>
              </w:rPr>
            </w:pPr>
            <w:r>
              <w:rPr>
                <w:rFonts w:cs="Times New Roman"/>
                <w:sz w:val="18"/>
                <w:szCs w:val="18"/>
              </w:rPr>
              <w:t>追责依据</w:t>
            </w:r>
          </w:p>
        </w:tc>
        <w:tc>
          <w:tcPr>
            <w:tcW w:w="608"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0" w:hRule="atLeast"/>
          <w:jc w:val="center"/>
        </w:trPr>
        <w:tc>
          <w:tcPr>
            <w:tcW w:w="780" w:type="dxa"/>
            <w:vAlign w:val="center"/>
          </w:tcPr>
          <w:p>
            <w:pPr>
              <w:spacing w:line="240" w:lineRule="exact"/>
              <w:jc w:val="center"/>
              <w:rPr>
                <w:rFonts w:cs="Times New Roman"/>
                <w:sz w:val="18"/>
                <w:szCs w:val="18"/>
              </w:rPr>
            </w:pPr>
            <w:r>
              <w:rPr>
                <w:rFonts w:hint="eastAsia" w:cs="Times New Roman"/>
                <w:sz w:val="18"/>
                <w:szCs w:val="18"/>
              </w:rPr>
              <w:t>25</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22" w:type="dxa"/>
            <w:vAlign w:val="center"/>
          </w:tcPr>
          <w:p>
            <w:pPr>
              <w:spacing w:line="240" w:lineRule="exact"/>
              <w:rPr>
                <w:rFonts w:cs="Times New Roman"/>
                <w:sz w:val="18"/>
                <w:szCs w:val="18"/>
              </w:rPr>
            </w:pPr>
            <w:r>
              <w:rPr>
                <w:rFonts w:cs="Times New Roman"/>
                <w:sz w:val="18"/>
                <w:szCs w:val="18"/>
              </w:rPr>
              <w:t>对违法出售、收购、运输、携带国家或者地方重点保护野生动物或者其产品的处罚</w:t>
            </w:r>
          </w:p>
        </w:tc>
        <w:tc>
          <w:tcPr>
            <w:tcW w:w="835" w:type="dxa"/>
            <w:vAlign w:val="center"/>
          </w:tcPr>
          <w:p>
            <w:pPr>
              <w:spacing w:line="240" w:lineRule="exact"/>
              <w:rPr>
                <w:rFonts w:cs="Times New Roman"/>
                <w:sz w:val="18"/>
                <w:szCs w:val="18"/>
              </w:rPr>
            </w:pPr>
            <w:r>
              <w:rPr>
                <w:rFonts w:cs="Times New Roman"/>
                <w:sz w:val="18"/>
                <w:szCs w:val="18"/>
              </w:rPr>
              <w:t>　</w:t>
            </w:r>
          </w:p>
        </w:tc>
        <w:tc>
          <w:tcPr>
            <w:tcW w:w="3919" w:type="dxa"/>
            <w:vAlign w:val="center"/>
          </w:tcPr>
          <w:p>
            <w:pPr>
              <w:spacing w:line="240" w:lineRule="exact"/>
              <w:ind w:firstLine="360" w:firstLineChars="200"/>
              <w:rPr>
                <w:rFonts w:cs="Times New Roman"/>
                <w:sz w:val="18"/>
                <w:szCs w:val="18"/>
              </w:rPr>
            </w:pPr>
            <w:r>
              <w:rPr>
                <w:rFonts w:cs="Times New Roman"/>
                <w:sz w:val="18"/>
                <w:szCs w:val="18"/>
              </w:rPr>
              <w:t>【法律】《中华人民共和国野生动物保护法》</w:t>
            </w:r>
            <w:r>
              <w:rPr>
                <w:rFonts w:cs="Times New Roman"/>
                <w:snapToGrid w:val="0"/>
                <w:sz w:val="18"/>
                <w:szCs w:val="18"/>
              </w:rPr>
              <w:t>（1988年11月8日主席令第九号公布，2016年7月2日主席令第四</w:t>
            </w:r>
            <w:r>
              <w:rPr>
                <w:rFonts w:cs="Times New Roman"/>
                <w:sz w:val="18"/>
                <w:szCs w:val="18"/>
              </w:rPr>
              <w:t>十七号第二次修改）</w:t>
            </w:r>
            <w:r>
              <w:rPr>
                <w:rFonts w:hint="eastAsia" w:cs="Times New Roman"/>
                <w:sz w:val="18"/>
                <w:szCs w:val="18"/>
              </w:rPr>
              <w:t>第四十八条　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工商行政管理部门按照职责分工没收野生动物及其制品和违法所得，并处野生动物及其制品价值二倍以上十倍以下的罚款；情节严重的，吊销人工繁育许可证、撤销批准文件、收回专用标识；构成犯罪的，依法追究刑事责任。违反本法第二十七条第四款、第三十三条第二款规定，未持有合法来源证明出售、利用、运输非国家重点保护野生动物的，由县级以上地方人民政府野生动物保护主管部门或者工商行政管理部门按照职责分工没收野生动物，并处野生动物价值一倍以上五倍以下的罚款。违反本法第二十七条第五款、第三十三条规定，出售、运输、携带、寄递有关野生动物及其制品未持有或者未附有检疫证明的，依照《中华人民共和国动物防疫法》的规定处罚。</w:t>
            </w:r>
          </w:p>
          <w:p>
            <w:pPr>
              <w:spacing w:line="240" w:lineRule="exact"/>
              <w:ind w:firstLine="360" w:firstLineChars="200"/>
              <w:rPr>
                <w:rFonts w:cs="Times New Roman"/>
                <w:sz w:val="18"/>
                <w:szCs w:val="18"/>
              </w:rPr>
            </w:pPr>
            <w:r>
              <w:rPr>
                <w:rFonts w:cs="Times New Roman"/>
                <w:sz w:val="18"/>
                <w:szCs w:val="18"/>
              </w:rPr>
              <w:t>【法规】《中华人民共和国陆生野生动物保护实施条例》(1992年3月1日林业部令第29号发布，2016年2月6日国务院令第666号修改）</w:t>
            </w:r>
            <w:r>
              <w:rPr>
                <w:rFonts w:hint="eastAsia" w:cs="Times New Roman"/>
                <w:sz w:val="18"/>
                <w:szCs w:val="18"/>
              </w:rPr>
              <w:t>第三十六条　违反野生动物保护法规，出售、收购、运输、携带国家或者地方重点保护野生动物或者其产品的，由工商行政管理部门或者其授权的野生动物行政主管部门没收实物和违法所得，可以并处相当于实物价值十倍以下的罚款。</w:t>
            </w:r>
          </w:p>
          <w:p>
            <w:pPr>
              <w:spacing w:line="240" w:lineRule="exact"/>
              <w:ind w:firstLine="360" w:firstLineChars="200"/>
              <w:rPr>
                <w:color w:val="000000"/>
                <w:sz w:val="18"/>
                <w:szCs w:val="18"/>
              </w:rPr>
            </w:pPr>
            <w:r>
              <w:rPr>
                <w:rFonts w:cs="Times New Roman"/>
                <w:sz w:val="18"/>
                <w:szCs w:val="18"/>
              </w:rPr>
              <w:t>【法规】《广西壮族自治区陆生野生动物保护管理规定》（1994年7月29日广西壮族自治区八届人大常委会第10次会议通过，2012年3月23日第四次修正）第二十四条……（四）违法出售、收购、运输、携带、邮寄、加工、利用重点保护陆生野生动物或者其产品的，没收实物和违法所得，可以并处相当于实物价值十倍以下的罚款；实物价值难以确定的，可以根据实物的种类和数量予以处罚，属于国家重点保护陆生野生动物的，可以并处十万元以下的罚款，属于自治区重点保护陆生野生动物的，可以并处五万元以下的罚款；……（九）违法出售、收购、运输、携带、邮寄、加工、利用非重点保护陆生野生动物及其产品的，没收实物及其违法所得，可以并处五千元以下的罚款。</w:t>
            </w:r>
          </w:p>
        </w:tc>
        <w:tc>
          <w:tcPr>
            <w:tcW w:w="2104"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 xml:space="preserve"> 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02"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3"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57"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08"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740"/>
        <w:gridCol w:w="722"/>
        <w:gridCol w:w="702"/>
        <w:gridCol w:w="2654"/>
        <w:gridCol w:w="2320"/>
        <w:gridCol w:w="7453"/>
        <w:gridCol w:w="1556"/>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753"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722" w:type="dxa"/>
            <w:vAlign w:val="center"/>
          </w:tcPr>
          <w:p>
            <w:pPr>
              <w:spacing w:line="280" w:lineRule="exact"/>
              <w:jc w:val="center"/>
              <w:rPr>
                <w:rFonts w:cs="Times New Roman"/>
                <w:sz w:val="18"/>
                <w:szCs w:val="18"/>
              </w:rPr>
            </w:pPr>
            <w:r>
              <w:rPr>
                <w:rFonts w:cs="Times New Roman"/>
                <w:sz w:val="18"/>
                <w:szCs w:val="18"/>
              </w:rPr>
              <w:t>项目名称</w:t>
            </w:r>
          </w:p>
        </w:tc>
        <w:tc>
          <w:tcPr>
            <w:tcW w:w="702" w:type="dxa"/>
            <w:vAlign w:val="center"/>
          </w:tcPr>
          <w:p>
            <w:pPr>
              <w:spacing w:line="280" w:lineRule="exact"/>
              <w:jc w:val="center"/>
              <w:rPr>
                <w:rFonts w:cs="Times New Roman"/>
                <w:sz w:val="18"/>
                <w:szCs w:val="18"/>
              </w:rPr>
            </w:pPr>
            <w:r>
              <w:rPr>
                <w:rFonts w:cs="Times New Roman"/>
                <w:sz w:val="18"/>
                <w:szCs w:val="18"/>
              </w:rPr>
              <w:t>子项</w:t>
            </w:r>
          </w:p>
        </w:tc>
        <w:tc>
          <w:tcPr>
            <w:tcW w:w="2654" w:type="dxa"/>
            <w:vAlign w:val="center"/>
          </w:tcPr>
          <w:p>
            <w:pPr>
              <w:spacing w:line="280" w:lineRule="exact"/>
              <w:jc w:val="center"/>
              <w:rPr>
                <w:rFonts w:cs="Times New Roman"/>
                <w:sz w:val="18"/>
                <w:szCs w:val="18"/>
              </w:rPr>
            </w:pPr>
            <w:r>
              <w:rPr>
                <w:rFonts w:cs="Times New Roman"/>
                <w:sz w:val="18"/>
                <w:szCs w:val="18"/>
              </w:rPr>
              <w:t>实施依据</w:t>
            </w:r>
          </w:p>
        </w:tc>
        <w:tc>
          <w:tcPr>
            <w:tcW w:w="2320" w:type="dxa"/>
            <w:vAlign w:val="center"/>
          </w:tcPr>
          <w:p>
            <w:pPr>
              <w:spacing w:line="280" w:lineRule="exact"/>
              <w:jc w:val="center"/>
              <w:rPr>
                <w:rFonts w:cs="Times New Roman"/>
                <w:sz w:val="18"/>
                <w:szCs w:val="18"/>
              </w:rPr>
            </w:pPr>
            <w:r>
              <w:rPr>
                <w:rFonts w:cs="Times New Roman"/>
                <w:sz w:val="18"/>
                <w:szCs w:val="18"/>
              </w:rPr>
              <w:t>责任事项</w:t>
            </w:r>
          </w:p>
        </w:tc>
        <w:tc>
          <w:tcPr>
            <w:tcW w:w="7453" w:type="dxa"/>
            <w:vAlign w:val="center"/>
          </w:tcPr>
          <w:p>
            <w:pPr>
              <w:spacing w:line="280" w:lineRule="exact"/>
              <w:jc w:val="center"/>
              <w:rPr>
                <w:rFonts w:cs="Times New Roman"/>
                <w:sz w:val="18"/>
                <w:szCs w:val="18"/>
              </w:rPr>
            </w:pPr>
            <w:r>
              <w:rPr>
                <w:rFonts w:cs="Times New Roman"/>
                <w:sz w:val="18"/>
                <w:szCs w:val="18"/>
              </w:rPr>
              <w:t>责任事项依据</w:t>
            </w:r>
          </w:p>
        </w:tc>
        <w:tc>
          <w:tcPr>
            <w:tcW w:w="1556"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9" w:hRule="atLeast"/>
          <w:jc w:val="center"/>
        </w:trPr>
        <w:tc>
          <w:tcPr>
            <w:tcW w:w="753" w:type="dxa"/>
            <w:vAlign w:val="center"/>
          </w:tcPr>
          <w:p>
            <w:pPr>
              <w:spacing w:line="240" w:lineRule="exact"/>
              <w:jc w:val="center"/>
              <w:rPr>
                <w:rFonts w:cs="Times New Roman"/>
                <w:sz w:val="18"/>
                <w:szCs w:val="18"/>
              </w:rPr>
            </w:pPr>
            <w:r>
              <w:rPr>
                <w:rFonts w:hint="eastAsia" w:cs="Times New Roman"/>
                <w:sz w:val="18"/>
                <w:szCs w:val="18"/>
              </w:rPr>
              <w:t>26</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22" w:type="dxa"/>
            <w:vAlign w:val="center"/>
          </w:tcPr>
          <w:p>
            <w:pPr>
              <w:spacing w:line="240" w:lineRule="exact"/>
              <w:rPr>
                <w:rFonts w:cs="Times New Roman"/>
                <w:sz w:val="18"/>
                <w:szCs w:val="18"/>
              </w:rPr>
            </w:pPr>
            <w:r>
              <w:rPr>
                <w:rFonts w:cs="Times New Roman"/>
                <w:sz w:val="18"/>
                <w:szCs w:val="18"/>
              </w:rPr>
              <w:t>对伪造、倒卖、转让特许猎捕证、狩猎证、驯养繁殖许可证或者允许进出口证明书的处罚</w:t>
            </w:r>
          </w:p>
        </w:tc>
        <w:tc>
          <w:tcPr>
            <w:tcW w:w="702" w:type="dxa"/>
            <w:vAlign w:val="center"/>
          </w:tcPr>
          <w:p>
            <w:pPr>
              <w:spacing w:line="240" w:lineRule="exact"/>
              <w:rPr>
                <w:rFonts w:cs="Times New Roman"/>
                <w:sz w:val="18"/>
                <w:szCs w:val="18"/>
              </w:rPr>
            </w:pPr>
            <w:r>
              <w:rPr>
                <w:rFonts w:cs="Times New Roman"/>
                <w:sz w:val="18"/>
                <w:szCs w:val="18"/>
              </w:rPr>
              <w:t>　</w:t>
            </w:r>
          </w:p>
        </w:tc>
        <w:tc>
          <w:tcPr>
            <w:tcW w:w="2654" w:type="dxa"/>
            <w:vAlign w:val="center"/>
          </w:tcPr>
          <w:p>
            <w:pPr>
              <w:spacing w:line="240" w:lineRule="exact"/>
              <w:ind w:firstLine="270" w:firstLineChars="150"/>
              <w:rPr>
                <w:rFonts w:cs="Times New Roman"/>
                <w:sz w:val="18"/>
                <w:szCs w:val="18"/>
              </w:rPr>
            </w:pPr>
            <w:r>
              <w:rPr>
                <w:rFonts w:cs="Times New Roman"/>
                <w:sz w:val="18"/>
                <w:szCs w:val="18"/>
              </w:rPr>
              <w:t>【法律】《中华人民共和国野生动物保护法》</w:t>
            </w:r>
            <w:r>
              <w:rPr>
                <w:rFonts w:cs="Times New Roman"/>
                <w:snapToGrid w:val="0"/>
                <w:sz w:val="18"/>
                <w:szCs w:val="18"/>
              </w:rPr>
              <w:t>（1988年11月8日主席令第九号公</w:t>
            </w:r>
            <w:r>
              <w:rPr>
                <w:rFonts w:cs="Times New Roman"/>
                <w:sz w:val="18"/>
                <w:szCs w:val="18"/>
              </w:rPr>
              <w:t>布，2016年7月2日主席令第四十七号第二次修改）</w:t>
            </w:r>
            <w:r>
              <w:rPr>
                <w:rFonts w:hint="eastAsia" w:cs="Times New Roman"/>
                <w:sz w:val="18"/>
                <w:szCs w:val="18"/>
              </w:rPr>
              <w:t>第三十九条　禁止伪造、变造、买卖、转让、租借特许猎捕证、狩猎证、人工繁育许可证及专用标识，出售、购买、利用国家重点保护野生动物及其制品的批准文件，或者允许进出口证明书、进出口等批准文件。　　前款规定的有关许可证书、专用标识、批准文件的发放情况，应当依法公开。</w:t>
            </w:r>
          </w:p>
          <w:p>
            <w:pPr>
              <w:spacing w:line="240" w:lineRule="exact"/>
              <w:ind w:firstLine="270" w:firstLineChars="150"/>
              <w:rPr>
                <w:rFonts w:cs="Times New Roman"/>
                <w:sz w:val="18"/>
                <w:szCs w:val="18"/>
              </w:rPr>
            </w:pPr>
            <w:r>
              <w:rPr>
                <w:rFonts w:cs="Times New Roman"/>
                <w:sz w:val="18"/>
                <w:szCs w:val="18"/>
              </w:rPr>
              <w:t>【法规】《中华人民共和国陆生野生动物保护实施条例》(1992年3月1日林业部令第29号发布，2016年2月6日国务院令第666号修改）第三十七条　伪造、倒卖、转让狩猎证或者驯养繁殖许可证，依照《野生动物保护法》第三十七条的规定处以罚款的，按照5000元以下的标准执行。伪造、倒卖、转让特许猎捕证或者允许进出口证明书，依照《野生动物保护法》第三十七条的规定处以罚款的，按照5万元以下的标准执行。</w:t>
            </w:r>
          </w:p>
          <w:p>
            <w:pPr>
              <w:spacing w:line="240" w:lineRule="exact"/>
              <w:ind w:firstLine="270" w:firstLineChars="150"/>
              <w:rPr>
                <w:color w:val="000000"/>
                <w:sz w:val="18"/>
                <w:szCs w:val="18"/>
              </w:rPr>
            </w:pPr>
            <w:r>
              <w:rPr>
                <w:rFonts w:cs="Times New Roman"/>
                <w:sz w:val="18"/>
                <w:szCs w:val="18"/>
              </w:rPr>
              <w:t>【法规】《广西壮族自治区陆生野生动物保护管理规定》（1994年7月29日广西壮族自治区八届人大常委会第10次会议通过，2012年3月23日第四次修正）第二十四条……（八）伪造、倒卖、转让驯养繁殖许可证、运输证或者经营利用许可证的，吊销证件，没收违法所得，可以并处三百元以上五千元以下的罚款。</w:t>
            </w:r>
          </w:p>
        </w:tc>
        <w:tc>
          <w:tcPr>
            <w:tcW w:w="2320"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53"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6"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1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732"/>
        <w:gridCol w:w="713"/>
        <w:gridCol w:w="694"/>
        <w:gridCol w:w="2633"/>
        <w:gridCol w:w="2297"/>
        <w:gridCol w:w="7379"/>
        <w:gridCol w:w="1540"/>
        <w:gridCol w:w="4624"/>
        <w:gridCol w:w="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744" w:type="dxa"/>
            <w:vAlign w:val="center"/>
          </w:tcPr>
          <w:p>
            <w:pPr>
              <w:spacing w:line="280" w:lineRule="exact"/>
              <w:jc w:val="center"/>
              <w:rPr>
                <w:rFonts w:cs="Times New Roman"/>
                <w:sz w:val="18"/>
                <w:szCs w:val="18"/>
              </w:rPr>
            </w:pPr>
            <w:r>
              <w:rPr>
                <w:rFonts w:cs="Times New Roman"/>
                <w:sz w:val="18"/>
                <w:szCs w:val="18"/>
              </w:rPr>
              <w:t>序号</w:t>
            </w:r>
          </w:p>
        </w:tc>
        <w:tc>
          <w:tcPr>
            <w:tcW w:w="732" w:type="dxa"/>
            <w:vAlign w:val="center"/>
          </w:tcPr>
          <w:p>
            <w:pPr>
              <w:spacing w:line="280" w:lineRule="exact"/>
              <w:jc w:val="center"/>
              <w:rPr>
                <w:rFonts w:cs="Times New Roman"/>
                <w:sz w:val="18"/>
                <w:szCs w:val="18"/>
              </w:rPr>
            </w:pPr>
            <w:r>
              <w:rPr>
                <w:rFonts w:cs="Times New Roman"/>
                <w:sz w:val="18"/>
                <w:szCs w:val="18"/>
              </w:rPr>
              <w:t>权力分类</w:t>
            </w:r>
          </w:p>
        </w:tc>
        <w:tc>
          <w:tcPr>
            <w:tcW w:w="713" w:type="dxa"/>
            <w:vAlign w:val="center"/>
          </w:tcPr>
          <w:p>
            <w:pPr>
              <w:spacing w:line="280" w:lineRule="exact"/>
              <w:jc w:val="center"/>
              <w:rPr>
                <w:rFonts w:cs="Times New Roman"/>
                <w:sz w:val="18"/>
                <w:szCs w:val="18"/>
              </w:rPr>
            </w:pPr>
            <w:r>
              <w:rPr>
                <w:rFonts w:cs="Times New Roman"/>
                <w:sz w:val="18"/>
                <w:szCs w:val="18"/>
              </w:rPr>
              <w:t>项目名称</w:t>
            </w:r>
          </w:p>
        </w:tc>
        <w:tc>
          <w:tcPr>
            <w:tcW w:w="694" w:type="dxa"/>
            <w:vAlign w:val="center"/>
          </w:tcPr>
          <w:p>
            <w:pPr>
              <w:spacing w:line="280" w:lineRule="exact"/>
              <w:jc w:val="center"/>
              <w:rPr>
                <w:rFonts w:cs="Times New Roman"/>
                <w:sz w:val="18"/>
                <w:szCs w:val="18"/>
              </w:rPr>
            </w:pPr>
            <w:r>
              <w:rPr>
                <w:rFonts w:cs="Times New Roman"/>
                <w:sz w:val="18"/>
                <w:szCs w:val="18"/>
              </w:rPr>
              <w:t>子项</w:t>
            </w:r>
          </w:p>
        </w:tc>
        <w:tc>
          <w:tcPr>
            <w:tcW w:w="2633" w:type="dxa"/>
            <w:vAlign w:val="center"/>
          </w:tcPr>
          <w:p>
            <w:pPr>
              <w:spacing w:line="280" w:lineRule="exact"/>
              <w:jc w:val="center"/>
              <w:rPr>
                <w:rFonts w:cs="Times New Roman"/>
                <w:sz w:val="18"/>
                <w:szCs w:val="18"/>
              </w:rPr>
            </w:pPr>
            <w:r>
              <w:rPr>
                <w:rFonts w:cs="Times New Roman"/>
                <w:sz w:val="18"/>
                <w:szCs w:val="18"/>
              </w:rPr>
              <w:t>实施依据</w:t>
            </w:r>
          </w:p>
        </w:tc>
        <w:tc>
          <w:tcPr>
            <w:tcW w:w="2297" w:type="dxa"/>
            <w:vAlign w:val="center"/>
          </w:tcPr>
          <w:p>
            <w:pPr>
              <w:spacing w:line="280" w:lineRule="exact"/>
              <w:jc w:val="center"/>
              <w:rPr>
                <w:rFonts w:cs="Times New Roman"/>
                <w:sz w:val="18"/>
                <w:szCs w:val="18"/>
              </w:rPr>
            </w:pPr>
            <w:r>
              <w:rPr>
                <w:rFonts w:cs="Times New Roman"/>
                <w:sz w:val="18"/>
                <w:szCs w:val="18"/>
              </w:rPr>
              <w:t>责任事项</w:t>
            </w:r>
          </w:p>
        </w:tc>
        <w:tc>
          <w:tcPr>
            <w:tcW w:w="7379" w:type="dxa"/>
            <w:vAlign w:val="center"/>
          </w:tcPr>
          <w:p>
            <w:pPr>
              <w:spacing w:line="280" w:lineRule="exact"/>
              <w:jc w:val="center"/>
              <w:rPr>
                <w:rFonts w:cs="Times New Roman"/>
                <w:sz w:val="18"/>
                <w:szCs w:val="18"/>
              </w:rPr>
            </w:pPr>
            <w:r>
              <w:rPr>
                <w:rFonts w:cs="Times New Roman"/>
                <w:sz w:val="18"/>
                <w:szCs w:val="18"/>
              </w:rPr>
              <w:t>责任事项依据</w:t>
            </w:r>
          </w:p>
        </w:tc>
        <w:tc>
          <w:tcPr>
            <w:tcW w:w="1540" w:type="dxa"/>
            <w:vAlign w:val="center"/>
          </w:tcPr>
          <w:p>
            <w:pPr>
              <w:spacing w:line="280" w:lineRule="exact"/>
              <w:jc w:val="center"/>
              <w:rPr>
                <w:rFonts w:cs="Times New Roman"/>
                <w:sz w:val="18"/>
                <w:szCs w:val="18"/>
              </w:rPr>
            </w:pPr>
            <w:r>
              <w:rPr>
                <w:rFonts w:cs="Times New Roman"/>
                <w:sz w:val="18"/>
                <w:szCs w:val="18"/>
              </w:rPr>
              <w:t>追责情形</w:t>
            </w:r>
          </w:p>
        </w:tc>
        <w:tc>
          <w:tcPr>
            <w:tcW w:w="4624" w:type="dxa"/>
            <w:vAlign w:val="center"/>
          </w:tcPr>
          <w:p>
            <w:pPr>
              <w:spacing w:line="280" w:lineRule="exact"/>
              <w:jc w:val="center"/>
              <w:rPr>
                <w:rFonts w:cs="Times New Roman"/>
                <w:sz w:val="18"/>
                <w:szCs w:val="18"/>
              </w:rPr>
            </w:pPr>
            <w:r>
              <w:rPr>
                <w:rFonts w:cs="Times New Roman"/>
                <w:sz w:val="18"/>
                <w:szCs w:val="18"/>
              </w:rPr>
              <w:t>追责依据</w:t>
            </w:r>
          </w:p>
        </w:tc>
        <w:tc>
          <w:tcPr>
            <w:tcW w:w="604"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5" w:hRule="atLeast"/>
          <w:jc w:val="center"/>
        </w:trPr>
        <w:tc>
          <w:tcPr>
            <w:tcW w:w="744" w:type="dxa"/>
            <w:vAlign w:val="center"/>
          </w:tcPr>
          <w:p>
            <w:pPr>
              <w:spacing w:line="240" w:lineRule="exact"/>
              <w:jc w:val="center"/>
              <w:rPr>
                <w:rFonts w:cs="Times New Roman"/>
                <w:sz w:val="18"/>
                <w:szCs w:val="18"/>
              </w:rPr>
            </w:pPr>
            <w:r>
              <w:rPr>
                <w:rFonts w:hint="eastAsia" w:cs="Times New Roman"/>
                <w:sz w:val="18"/>
                <w:szCs w:val="18"/>
              </w:rPr>
              <w:t>27</w:t>
            </w:r>
          </w:p>
        </w:tc>
        <w:tc>
          <w:tcPr>
            <w:tcW w:w="732"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13" w:type="dxa"/>
            <w:vAlign w:val="center"/>
          </w:tcPr>
          <w:p>
            <w:pPr>
              <w:spacing w:line="240" w:lineRule="exact"/>
              <w:rPr>
                <w:rFonts w:cs="Times New Roman"/>
                <w:sz w:val="18"/>
                <w:szCs w:val="18"/>
              </w:rPr>
            </w:pPr>
            <w:r>
              <w:rPr>
                <w:rFonts w:cs="Times New Roman"/>
                <w:sz w:val="18"/>
                <w:szCs w:val="18"/>
              </w:rPr>
              <w:t>对未取得驯养繁殖许可证或者超越驯养繁殖许可证规定范围驯养繁殖重点保护陆生野生动物的处罚</w:t>
            </w:r>
          </w:p>
        </w:tc>
        <w:tc>
          <w:tcPr>
            <w:tcW w:w="694" w:type="dxa"/>
            <w:vAlign w:val="center"/>
          </w:tcPr>
          <w:p>
            <w:pPr>
              <w:spacing w:line="240" w:lineRule="exact"/>
              <w:rPr>
                <w:rFonts w:cs="Times New Roman"/>
                <w:sz w:val="18"/>
                <w:szCs w:val="18"/>
              </w:rPr>
            </w:pPr>
            <w:r>
              <w:rPr>
                <w:rFonts w:cs="Times New Roman"/>
                <w:sz w:val="18"/>
                <w:szCs w:val="18"/>
              </w:rPr>
              <w:t>　</w:t>
            </w:r>
          </w:p>
        </w:tc>
        <w:tc>
          <w:tcPr>
            <w:tcW w:w="2633" w:type="dxa"/>
            <w:vAlign w:val="center"/>
          </w:tcPr>
          <w:p>
            <w:pPr>
              <w:spacing w:line="240" w:lineRule="exact"/>
              <w:ind w:firstLine="270" w:firstLineChars="150"/>
              <w:rPr>
                <w:rFonts w:cs="Times New Roman"/>
                <w:sz w:val="18"/>
                <w:szCs w:val="18"/>
              </w:rPr>
            </w:pPr>
            <w:r>
              <w:rPr>
                <w:rFonts w:cs="Times New Roman"/>
                <w:sz w:val="18"/>
                <w:szCs w:val="18"/>
              </w:rPr>
              <w:t>【法规】《中华人民共和国陆生野生动物保护实施条例》(1992年3月1日林业部令第29号发布，2016年2月6日国务院令第666号修改）第三十八条违反野生动物保护法规，未取得驯养繁殖许可证或者超越驯养繁殖许可证规定范围驯养繁殖国家重点保护野生动物的，由野生动物行政主管部门没收违法所得，处三千元以下罚款，可以并处没收野生动物、吊销驯养繁殖许可证。</w:t>
            </w:r>
          </w:p>
          <w:p>
            <w:pPr>
              <w:spacing w:line="240" w:lineRule="exact"/>
              <w:ind w:firstLine="270" w:firstLineChars="150"/>
              <w:rPr>
                <w:color w:val="000000"/>
                <w:sz w:val="18"/>
                <w:szCs w:val="18"/>
              </w:rPr>
            </w:pPr>
            <w:r>
              <w:rPr>
                <w:rFonts w:cs="Times New Roman"/>
                <w:sz w:val="18"/>
                <w:szCs w:val="18"/>
              </w:rPr>
              <w:t>【法规】《广西壮族自治区陆生野生动物保护管理规定》（1994年7月29日广西壮族自治区八届人大常委会第10次会议通过，2012年3月23日第四次修正）第四条县级以上人民政府林业行政主管部门主管本行政区域内陆生野生动物保护管理工作。乡（镇）人民政府协助县级以上人民政府林业行政主管部门做好本行政区域内陆生野生动物保护管理工作。第二十四条有下列行为之一的，由县级以上工商行政管理部门或者林业行政主管部门在各自管理权限范围内视情节轻重给予处罚：……（七）未取得驯养繁殖许可证或者超越许可证规定范围驯养繁殖重点保护陆生野生动物的，没收违法所得，处以三千元以下的罚款，可以并处没收陆生野生动物及其产品，吊销驯养繁殖许可证</w:t>
            </w:r>
            <w:r>
              <w:rPr>
                <w:rFonts w:hint="eastAsia" w:cs="Times New Roman"/>
                <w:sz w:val="18"/>
                <w:szCs w:val="18"/>
              </w:rPr>
              <w:t>。</w:t>
            </w:r>
          </w:p>
        </w:tc>
        <w:tc>
          <w:tcPr>
            <w:tcW w:w="2297"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379"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4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2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04"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759"/>
        <w:gridCol w:w="778"/>
        <w:gridCol w:w="777"/>
        <w:gridCol w:w="2472"/>
        <w:gridCol w:w="2323"/>
        <w:gridCol w:w="7459"/>
        <w:gridCol w:w="1557"/>
        <w:gridCol w:w="4674"/>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790" w:type="dxa"/>
            <w:vAlign w:val="center"/>
          </w:tcPr>
          <w:p>
            <w:pPr>
              <w:spacing w:line="280" w:lineRule="exact"/>
              <w:jc w:val="center"/>
              <w:rPr>
                <w:rFonts w:cs="Times New Roman"/>
                <w:sz w:val="18"/>
                <w:szCs w:val="18"/>
              </w:rPr>
            </w:pPr>
            <w:r>
              <w:rPr>
                <w:rFonts w:cs="Times New Roman"/>
                <w:sz w:val="18"/>
                <w:szCs w:val="18"/>
              </w:rPr>
              <w:t>序号</w:t>
            </w:r>
          </w:p>
        </w:tc>
        <w:tc>
          <w:tcPr>
            <w:tcW w:w="759" w:type="dxa"/>
            <w:vAlign w:val="center"/>
          </w:tcPr>
          <w:p>
            <w:pPr>
              <w:spacing w:line="280" w:lineRule="exact"/>
              <w:jc w:val="center"/>
              <w:rPr>
                <w:rFonts w:cs="Times New Roman"/>
                <w:sz w:val="18"/>
                <w:szCs w:val="18"/>
              </w:rPr>
            </w:pPr>
            <w:r>
              <w:rPr>
                <w:rFonts w:cs="Times New Roman"/>
                <w:sz w:val="18"/>
                <w:szCs w:val="18"/>
              </w:rPr>
              <w:t>权力分类</w:t>
            </w:r>
          </w:p>
        </w:tc>
        <w:tc>
          <w:tcPr>
            <w:tcW w:w="778" w:type="dxa"/>
            <w:vAlign w:val="center"/>
          </w:tcPr>
          <w:p>
            <w:pPr>
              <w:spacing w:line="280" w:lineRule="exact"/>
              <w:jc w:val="center"/>
              <w:rPr>
                <w:rFonts w:cs="Times New Roman"/>
                <w:sz w:val="18"/>
                <w:szCs w:val="18"/>
              </w:rPr>
            </w:pPr>
            <w:r>
              <w:rPr>
                <w:rFonts w:cs="Times New Roman"/>
                <w:sz w:val="18"/>
                <w:szCs w:val="18"/>
              </w:rPr>
              <w:t>项目名称</w:t>
            </w:r>
          </w:p>
        </w:tc>
        <w:tc>
          <w:tcPr>
            <w:tcW w:w="777" w:type="dxa"/>
            <w:vAlign w:val="center"/>
          </w:tcPr>
          <w:p>
            <w:pPr>
              <w:spacing w:line="280" w:lineRule="exact"/>
              <w:jc w:val="center"/>
              <w:rPr>
                <w:rFonts w:cs="Times New Roman"/>
                <w:sz w:val="18"/>
                <w:szCs w:val="18"/>
              </w:rPr>
            </w:pPr>
            <w:r>
              <w:rPr>
                <w:rFonts w:cs="Times New Roman"/>
                <w:sz w:val="18"/>
                <w:szCs w:val="18"/>
              </w:rPr>
              <w:t>子项</w:t>
            </w:r>
          </w:p>
        </w:tc>
        <w:tc>
          <w:tcPr>
            <w:tcW w:w="2472" w:type="dxa"/>
            <w:vAlign w:val="center"/>
          </w:tcPr>
          <w:p>
            <w:pPr>
              <w:spacing w:line="280" w:lineRule="exact"/>
              <w:jc w:val="center"/>
              <w:rPr>
                <w:rFonts w:cs="Times New Roman"/>
                <w:sz w:val="18"/>
                <w:szCs w:val="18"/>
              </w:rPr>
            </w:pPr>
            <w:r>
              <w:rPr>
                <w:rFonts w:cs="Times New Roman"/>
                <w:sz w:val="18"/>
                <w:szCs w:val="18"/>
              </w:rPr>
              <w:t>实施依据</w:t>
            </w:r>
          </w:p>
        </w:tc>
        <w:tc>
          <w:tcPr>
            <w:tcW w:w="2323" w:type="dxa"/>
            <w:vAlign w:val="center"/>
          </w:tcPr>
          <w:p>
            <w:pPr>
              <w:spacing w:line="280" w:lineRule="exact"/>
              <w:jc w:val="center"/>
              <w:rPr>
                <w:rFonts w:cs="Times New Roman"/>
                <w:sz w:val="18"/>
                <w:szCs w:val="18"/>
              </w:rPr>
            </w:pPr>
            <w:r>
              <w:rPr>
                <w:rFonts w:cs="Times New Roman"/>
                <w:sz w:val="18"/>
                <w:szCs w:val="18"/>
              </w:rPr>
              <w:t>责任事项</w:t>
            </w:r>
          </w:p>
        </w:tc>
        <w:tc>
          <w:tcPr>
            <w:tcW w:w="7459"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4"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8" w:hRule="atLeast"/>
          <w:jc w:val="center"/>
        </w:trPr>
        <w:tc>
          <w:tcPr>
            <w:tcW w:w="790" w:type="dxa"/>
            <w:vAlign w:val="center"/>
          </w:tcPr>
          <w:p>
            <w:pPr>
              <w:spacing w:line="240" w:lineRule="exact"/>
              <w:jc w:val="center"/>
              <w:rPr>
                <w:rFonts w:cs="Times New Roman"/>
                <w:sz w:val="18"/>
                <w:szCs w:val="18"/>
              </w:rPr>
            </w:pPr>
            <w:r>
              <w:rPr>
                <w:rFonts w:hint="eastAsia" w:cs="Times New Roman"/>
                <w:sz w:val="18"/>
                <w:szCs w:val="18"/>
              </w:rPr>
              <w:t>28</w:t>
            </w:r>
          </w:p>
        </w:tc>
        <w:tc>
          <w:tcPr>
            <w:tcW w:w="759"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78" w:type="dxa"/>
            <w:vAlign w:val="center"/>
          </w:tcPr>
          <w:p>
            <w:pPr>
              <w:spacing w:line="240" w:lineRule="exact"/>
              <w:rPr>
                <w:rFonts w:cs="Times New Roman"/>
                <w:sz w:val="18"/>
                <w:szCs w:val="18"/>
              </w:rPr>
            </w:pPr>
            <w:r>
              <w:rPr>
                <w:rFonts w:cs="Times New Roman"/>
                <w:sz w:val="18"/>
                <w:szCs w:val="18"/>
              </w:rPr>
              <w:t>对外国人未经批准在中国境内对国家重点保护陆生野生动物进行野外考察、标本采集或者在野外拍摄电影、录像的处罚</w:t>
            </w:r>
          </w:p>
        </w:tc>
        <w:tc>
          <w:tcPr>
            <w:tcW w:w="777" w:type="dxa"/>
            <w:vAlign w:val="center"/>
          </w:tcPr>
          <w:p>
            <w:pPr>
              <w:spacing w:line="240" w:lineRule="exact"/>
              <w:rPr>
                <w:rFonts w:cs="Times New Roman"/>
                <w:sz w:val="18"/>
                <w:szCs w:val="18"/>
              </w:rPr>
            </w:pPr>
            <w:r>
              <w:rPr>
                <w:rFonts w:cs="Times New Roman"/>
                <w:sz w:val="18"/>
                <w:szCs w:val="18"/>
              </w:rPr>
              <w:t>　</w:t>
            </w:r>
          </w:p>
        </w:tc>
        <w:tc>
          <w:tcPr>
            <w:tcW w:w="2472" w:type="dxa"/>
            <w:vAlign w:val="center"/>
          </w:tcPr>
          <w:p>
            <w:pPr>
              <w:spacing w:line="240" w:lineRule="exact"/>
              <w:ind w:firstLine="270" w:firstLineChars="150"/>
              <w:rPr>
                <w:rFonts w:cs="Times New Roman"/>
                <w:sz w:val="18"/>
                <w:szCs w:val="18"/>
              </w:rPr>
            </w:pPr>
            <w:r>
              <w:rPr>
                <w:rFonts w:cs="Times New Roman"/>
                <w:sz w:val="18"/>
                <w:szCs w:val="18"/>
              </w:rPr>
              <w:t>【法规】《中华人民共和国陆生野生动物保护实施条例》(1992年3月1日林业部令第29号发布，2016年2月6日国务院令第666号修改）第三十九条　外国人未经批准在中国境内对国家重点保护野生动物进行野外考察、标本采集或者在野外拍摄电影、录像的，由野生动物行政主管部门没收考察、拍摄的资料以及所获标本，可以并处5万元以下罚款。</w:t>
            </w:r>
          </w:p>
          <w:p>
            <w:pPr>
              <w:spacing w:line="240" w:lineRule="exact"/>
              <w:ind w:firstLine="270" w:firstLineChars="150"/>
              <w:rPr>
                <w:color w:val="000000"/>
                <w:sz w:val="18"/>
                <w:szCs w:val="18"/>
              </w:rPr>
            </w:pPr>
          </w:p>
        </w:tc>
        <w:tc>
          <w:tcPr>
            <w:tcW w:w="2323"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59"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722"/>
        <w:gridCol w:w="893"/>
        <w:gridCol w:w="702"/>
        <w:gridCol w:w="2455"/>
        <w:gridCol w:w="2325"/>
        <w:gridCol w:w="7465"/>
        <w:gridCol w:w="1558"/>
        <w:gridCol w:w="4678"/>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810" w:type="dxa"/>
            <w:vAlign w:val="center"/>
          </w:tcPr>
          <w:p>
            <w:pPr>
              <w:spacing w:line="280" w:lineRule="exact"/>
              <w:jc w:val="center"/>
              <w:rPr>
                <w:rFonts w:cs="Times New Roman"/>
                <w:sz w:val="18"/>
                <w:szCs w:val="18"/>
              </w:rPr>
            </w:pPr>
            <w:r>
              <w:rPr>
                <w:rFonts w:cs="Times New Roman"/>
                <w:sz w:val="18"/>
                <w:szCs w:val="18"/>
              </w:rPr>
              <w:t>序号</w:t>
            </w:r>
          </w:p>
        </w:tc>
        <w:tc>
          <w:tcPr>
            <w:tcW w:w="722" w:type="dxa"/>
            <w:vAlign w:val="center"/>
          </w:tcPr>
          <w:p>
            <w:pPr>
              <w:spacing w:line="280" w:lineRule="exact"/>
              <w:jc w:val="center"/>
              <w:rPr>
                <w:rFonts w:cs="Times New Roman"/>
                <w:sz w:val="18"/>
                <w:szCs w:val="18"/>
              </w:rPr>
            </w:pPr>
            <w:r>
              <w:rPr>
                <w:rFonts w:cs="Times New Roman"/>
                <w:sz w:val="18"/>
                <w:szCs w:val="18"/>
              </w:rPr>
              <w:t>权力分类</w:t>
            </w:r>
          </w:p>
        </w:tc>
        <w:tc>
          <w:tcPr>
            <w:tcW w:w="893" w:type="dxa"/>
            <w:vAlign w:val="center"/>
          </w:tcPr>
          <w:p>
            <w:pPr>
              <w:spacing w:line="280" w:lineRule="exact"/>
              <w:jc w:val="center"/>
              <w:rPr>
                <w:rFonts w:cs="Times New Roman"/>
                <w:sz w:val="18"/>
                <w:szCs w:val="18"/>
              </w:rPr>
            </w:pPr>
            <w:r>
              <w:rPr>
                <w:rFonts w:cs="Times New Roman"/>
                <w:sz w:val="18"/>
                <w:szCs w:val="18"/>
              </w:rPr>
              <w:t>项目名称</w:t>
            </w:r>
          </w:p>
        </w:tc>
        <w:tc>
          <w:tcPr>
            <w:tcW w:w="702" w:type="dxa"/>
            <w:vAlign w:val="center"/>
          </w:tcPr>
          <w:p>
            <w:pPr>
              <w:spacing w:line="280" w:lineRule="exact"/>
              <w:jc w:val="center"/>
              <w:rPr>
                <w:rFonts w:cs="Times New Roman"/>
                <w:sz w:val="18"/>
                <w:szCs w:val="18"/>
              </w:rPr>
            </w:pPr>
            <w:r>
              <w:rPr>
                <w:rFonts w:cs="Times New Roman"/>
                <w:sz w:val="18"/>
                <w:szCs w:val="18"/>
              </w:rPr>
              <w:t>子项</w:t>
            </w:r>
          </w:p>
        </w:tc>
        <w:tc>
          <w:tcPr>
            <w:tcW w:w="2455" w:type="dxa"/>
            <w:vAlign w:val="center"/>
          </w:tcPr>
          <w:p>
            <w:pPr>
              <w:spacing w:line="280" w:lineRule="exact"/>
              <w:jc w:val="center"/>
              <w:rPr>
                <w:rFonts w:cs="Times New Roman"/>
                <w:sz w:val="18"/>
                <w:szCs w:val="18"/>
              </w:rPr>
            </w:pPr>
            <w:r>
              <w:rPr>
                <w:rFonts w:cs="Times New Roman"/>
                <w:sz w:val="18"/>
                <w:szCs w:val="18"/>
              </w:rPr>
              <w:t>实施依据</w:t>
            </w:r>
          </w:p>
        </w:tc>
        <w:tc>
          <w:tcPr>
            <w:tcW w:w="2325" w:type="dxa"/>
            <w:vAlign w:val="center"/>
          </w:tcPr>
          <w:p>
            <w:pPr>
              <w:spacing w:line="280" w:lineRule="exact"/>
              <w:jc w:val="center"/>
              <w:rPr>
                <w:rFonts w:cs="Times New Roman"/>
                <w:sz w:val="18"/>
                <w:szCs w:val="18"/>
              </w:rPr>
            </w:pPr>
            <w:r>
              <w:rPr>
                <w:rFonts w:cs="Times New Roman"/>
                <w:sz w:val="18"/>
                <w:szCs w:val="18"/>
              </w:rPr>
              <w:t>责任事项</w:t>
            </w:r>
          </w:p>
        </w:tc>
        <w:tc>
          <w:tcPr>
            <w:tcW w:w="7465" w:type="dxa"/>
            <w:vAlign w:val="center"/>
          </w:tcPr>
          <w:p>
            <w:pPr>
              <w:spacing w:line="280" w:lineRule="exact"/>
              <w:jc w:val="center"/>
              <w:rPr>
                <w:rFonts w:cs="Times New Roman"/>
                <w:sz w:val="18"/>
                <w:szCs w:val="18"/>
              </w:rPr>
            </w:pPr>
            <w:r>
              <w:rPr>
                <w:rFonts w:cs="Times New Roman"/>
                <w:sz w:val="18"/>
                <w:szCs w:val="18"/>
              </w:rPr>
              <w:t>责任事项依据</w:t>
            </w:r>
          </w:p>
        </w:tc>
        <w:tc>
          <w:tcPr>
            <w:tcW w:w="1558"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5" w:hRule="atLeast"/>
          <w:jc w:val="center"/>
        </w:trPr>
        <w:tc>
          <w:tcPr>
            <w:tcW w:w="810" w:type="dxa"/>
            <w:vAlign w:val="center"/>
          </w:tcPr>
          <w:p>
            <w:pPr>
              <w:spacing w:line="240" w:lineRule="exact"/>
              <w:jc w:val="center"/>
              <w:rPr>
                <w:rFonts w:cs="Times New Roman"/>
                <w:sz w:val="18"/>
                <w:szCs w:val="18"/>
              </w:rPr>
            </w:pPr>
            <w:r>
              <w:rPr>
                <w:rFonts w:hint="eastAsia" w:cs="Times New Roman"/>
                <w:sz w:val="18"/>
                <w:szCs w:val="18"/>
              </w:rPr>
              <w:t>29</w:t>
            </w:r>
          </w:p>
        </w:tc>
        <w:tc>
          <w:tcPr>
            <w:tcW w:w="722"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93" w:type="dxa"/>
            <w:vAlign w:val="center"/>
          </w:tcPr>
          <w:p>
            <w:pPr>
              <w:spacing w:line="240" w:lineRule="exact"/>
              <w:rPr>
                <w:rFonts w:cs="Times New Roman"/>
                <w:sz w:val="18"/>
                <w:szCs w:val="18"/>
              </w:rPr>
            </w:pPr>
            <w:r>
              <w:rPr>
                <w:rFonts w:cs="Times New Roman"/>
                <w:sz w:val="18"/>
                <w:szCs w:val="18"/>
              </w:rPr>
              <w:t>对为违法收购、出售、捕杀、加工、利用、运输重点保护陆生野生动物及其产品提供工具、场所</w:t>
            </w:r>
            <w:r>
              <w:rPr>
                <w:rFonts w:hint="eastAsia" w:cs="Times New Roman"/>
                <w:sz w:val="18"/>
                <w:szCs w:val="18"/>
              </w:rPr>
              <w:t>或</w:t>
            </w:r>
            <w:r>
              <w:rPr>
                <w:rFonts w:cs="Times New Roman"/>
                <w:sz w:val="18"/>
                <w:szCs w:val="18"/>
              </w:rPr>
              <w:t>利用重点保护陆生野生动物的产品制作、发布广告</w:t>
            </w:r>
            <w:r>
              <w:rPr>
                <w:rFonts w:hint="eastAsia" w:cs="Times New Roman"/>
                <w:sz w:val="18"/>
                <w:szCs w:val="18"/>
              </w:rPr>
              <w:t>等行为</w:t>
            </w:r>
            <w:r>
              <w:rPr>
                <w:rFonts w:cs="Times New Roman"/>
                <w:sz w:val="18"/>
                <w:szCs w:val="18"/>
              </w:rPr>
              <w:t>的处罚</w:t>
            </w:r>
          </w:p>
        </w:tc>
        <w:tc>
          <w:tcPr>
            <w:tcW w:w="702" w:type="dxa"/>
            <w:vAlign w:val="center"/>
          </w:tcPr>
          <w:p>
            <w:pPr>
              <w:spacing w:line="240" w:lineRule="exact"/>
              <w:rPr>
                <w:rFonts w:cs="Times New Roman"/>
                <w:sz w:val="18"/>
                <w:szCs w:val="18"/>
              </w:rPr>
            </w:pPr>
            <w:r>
              <w:rPr>
                <w:rFonts w:cs="Times New Roman"/>
                <w:sz w:val="18"/>
                <w:szCs w:val="18"/>
              </w:rPr>
              <w:t>　</w:t>
            </w:r>
          </w:p>
        </w:tc>
        <w:tc>
          <w:tcPr>
            <w:tcW w:w="2455" w:type="dxa"/>
            <w:vAlign w:val="center"/>
          </w:tcPr>
          <w:p>
            <w:pPr>
              <w:spacing w:line="240" w:lineRule="exact"/>
              <w:ind w:firstLine="270" w:firstLineChars="150"/>
              <w:rPr>
                <w:color w:val="000000"/>
                <w:sz w:val="18"/>
                <w:szCs w:val="18"/>
              </w:rPr>
            </w:pPr>
            <w:r>
              <w:rPr>
                <w:rFonts w:cs="Times New Roman"/>
                <w:sz w:val="18"/>
                <w:szCs w:val="18"/>
              </w:rPr>
              <w:t>【法规】《《广西壮族自治区陆生野生动物保护管理规定》（1994年7月29日广西壮族自治区第八届人大常委会第10次会议通过，2012年3月23日修正）第二十四条有下列行为之一的，由县级以上工商行政管理部门或者林业行政主管部门在各自管理权限范围内视情节轻重给予处罚……（五）为违法收购、出售、捕杀、加工、利用、运输重点保护陆生野生动物及其产品提供工具、场所的，没收违法所得，可以并处一千元以上五万元以下的罚款。（六）利用重点保护陆生野生动物的产品制作、发布广告的，利用重点保护陆生野生动物及其产品进行妨碍重点保护陆生野生动物资源保护的宣传的，或者以重点保护陆生野生动物及其产品的名称、别称作菜谱招徕顾客的，按照广告法的有关规定处罚，广告法没有规定的，处以五百元以上二千元以下的罚款。</w:t>
            </w:r>
          </w:p>
        </w:tc>
        <w:tc>
          <w:tcPr>
            <w:tcW w:w="2325"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6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8"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2"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700"/>
        <w:gridCol w:w="854"/>
        <w:gridCol w:w="701"/>
        <w:gridCol w:w="2469"/>
        <w:gridCol w:w="2320"/>
        <w:gridCol w:w="7453"/>
        <w:gridCol w:w="1556"/>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847" w:type="dxa"/>
            <w:vAlign w:val="center"/>
          </w:tcPr>
          <w:p>
            <w:pPr>
              <w:spacing w:line="280" w:lineRule="exact"/>
              <w:jc w:val="both"/>
              <w:rPr>
                <w:rFonts w:cs="Times New Roman"/>
                <w:sz w:val="18"/>
                <w:szCs w:val="18"/>
              </w:rPr>
            </w:pPr>
            <w:r>
              <w:rPr>
                <w:rFonts w:cs="Times New Roman"/>
                <w:sz w:val="18"/>
                <w:szCs w:val="18"/>
              </w:rPr>
              <w:t>序号</w:t>
            </w:r>
          </w:p>
        </w:tc>
        <w:tc>
          <w:tcPr>
            <w:tcW w:w="700" w:type="dxa"/>
            <w:vAlign w:val="center"/>
          </w:tcPr>
          <w:p>
            <w:pPr>
              <w:spacing w:line="280" w:lineRule="exact"/>
              <w:jc w:val="center"/>
              <w:rPr>
                <w:rFonts w:cs="Times New Roman"/>
                <w:sz w:val="18"/>
                <w:szCs w:val="18"/>
              </w:rPr>
            </w:pPr>
            <w:r>
              <w:rPr>
                <w:rFonts w:cs="Times New Roman"/>
                <w:sz w:val="18"/>
                <w:szCs w:val="18"/>
              </w:rPr>
              <w:t>权力分类</w:t>
            </w:r>
          </w:p>
        </w:tc>
        <w:tc>
          <w:tcPr>
            <w:tcW w:w="854" w:type="dxa"/>
            <w:vAlign w:val="center"/>
          </w:tcPr>
          <w:p>
            <w:pPr>
              <w:spacing w:line="280" w:lineRule="exact"/>
              <w:jc w:val="center"/>
              <w:rPr>
                <w:rFonts w:cs="Times New Roman"/>
                <w:sz w:val="18"/>
                <w:szCs w:val="18"/>
              </w:rPr>
            </w:pPr>
            <w:r>
              <w:rPr>
                <w:rFonts w:cs="Times New Roman"/>
                <w:sz w:val="18"/>
                <w:szCs w:val="18"/>
              </w:rPr>
              <w:t>项目名称</w:t>
            </w:r>
          </w:p>
        </w:tc>
        <w:tc>
          <w:tcPr>
            <w:tcW w:w="701" w:type="dxa"/>
            <w:vAlign w:val="center"/>
          </w:tcPr>
          <w:p>
            <w:pPr>
              <w:spacing w:line="280" w:lineRule="exact"/>
              <w:jc w:val="center"/>
              <w:rPr>
                <w:rFonts w:cs="Times New Roman"/>
                <w:sz w:val="18"/>
                <w:szCs w:val="18"/>
              </w:rPr>
            </w:pPr>
            <w:r>
              <w:rPr>
                <w:rFonts w:cs="Times New Roman"/>
                <w:sz w:val="18"/>
                <w:szCs w:val="18"/>
              </w:rPr>
              <w:t>子项</w:t>
            </w:r>
          </w:p>
        </w:tc>
        <w:tc>
          <w:tcPr>
            <w:tcW w:w="2469" w:type="dxa"/>
            <w:vAlign w:val="center"/>
          </w:tcPr>
          <w:p>
            <w:pPr>
              <w:spacing w:line="280" w:lineRule="exact"/>
              <w:jc w:val="center"/>
              <w:rPr>
                <w:rFonts w:cs="Times New Roman"/>
                <w:sz w:val="18"/>
                <w:szCs w:val="18"/>
              </w:rPr>
            </w:pPr>
            <w:r>
              <w:rPr>
                <w:rFonts w:cs="Times New Roman"/>
                <w:sz w:val="18"/>
                <w:szCs w:val="18"/>
              </w:rPr>
              <w:t>实施依据</w:t>
            </w:r>
          </w:p>
        </w:tc>
        <w:tc>
          <w:tcPr>
            <w:tcW w:w="2320" w:type="dxa"/>
            <w:vAlign w:val="center"/>
          </w:tcPr>
          <w:p>
            <w:pPr>
              <w:spacing w:line="280" w:lineRule="exact"/>
              <w:jc w:val="center"/>
              <w:rPr>
                <w:rFonts w:cs="Times New Roman"/>
                <w:sz w:val="18"/>
                <w:szCs w:val="18"/>
              </w:rPr>
            </w:pPr>
            <w:r>
              <w:rPr>
                <w:rFonts w:cs="Times New Roman"/>
                <w:sz w:val="18"/>
                <w:szCs w:val="18"/>
              </w:rPr>
              <w:t>责任事项</w:t>
            </w:r>
          </w:p>
        </w:tc>
        <w:tc>
          <w:tcPr>
            <w:tcW w:w="7453" w:type="dxa"/>
            <w:vAlign w:val="center"/>
          </w:tcPr>
          <w:p>
            <w:pPr>
              <w:spacing w:line="280" w:lineRule="exact"/>
              <w:jc w:val="center"/>
              <w:rPr>
                <w:rFonts w:cs="Times New Roman"/>
                <w:sz w:val="18"/>
                <w:szCs w:val="18"/>
              </w:rPr>
            </w:pPr>
            <w:r>
              <w:rPr>
                <w:rFonts w:cs="Times New Roman"/>
                <w:sz w:val="18"/>
                <w:szCs w:val="18"/>
              </w:rPr>
              <w:t>责任事项依据</w:t>
            </w:r>
          </w:p>
        </w:tc>
        <w:tc>
          <w:tcPr>
            <w:tcW w:w="1556"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4" w:hRule="atLeast"/>
          <w:jc w:val="center"/>
        </w:trPr>
        <w:tc>
          <w:tcPr>
            <w:tcW w:w="847" w:type="dxa"/>
            <w:vAlign w:val="center"/>
          </w:tcPr>
          <w:p>
            <w:pPr>
              <w:spacing w:line="240" w:lineRule="exact"/>
              <w:jc w:val="center"/>
              <w:rPr>
                <w:rFonts w:cs="Times New Roman"/>
                <w:sz w:val="18"/>
                <w:szCs w:val="18"/>
              </w:rPr>
            </w:pPr>
            <w:r>
              <w:rPr>
                <w:rFonts w:hint="eastAsia" w:cs="Times New Roman"/>
                <w:sz w:val="18"/>
                <w:szCs w:val="18"/>
              </w:rPr>
              <w:t>30</w:t>
            </w:r>
          </w:p>
        </w:tc>
        <w:tc>
          <w:tcPr>
            <w:tcW w:w="70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54" w:type="dxa"/>
            <w:vAlign w:val="center"/>
          </w:tcPr>
          <w:p>
            <w:pPr>
              <w:spacing w:line="240" w:lineRule="exact"/>
              <w:rPr>
                <w:rFonts w:cs="Times New Roman"/>
                <w:sz w:val="18"/>
                <w:szCs w:val="18"/>
              </w:rPr>
            </w:pPr>
            <w:r>
              <w:rPr>
                <w:rFonts w:cs="Times New Roman"/>
                <w:sz w:val="18"/>
                <w:szCs w:val="18"/>
              </w:rPr>
              <w:t>对</w:t>
            </w:r>
            <w:r>
              <w:rPr>
                <w:rFonts w:hint="eastAsia" w:cs="Times New Roman"/>
                <w:sz w:val="18"/>
                <w:szCs w:val="18"/>
              </w:rPr>
              <w:t>违法经营陆生野生动物及其产品的</w:t>
            </w:r>
            <w:r>
              <w:rPr>
                <w:rFonts w:cs="Times New Roman"/>
                <w:sz w:val="18"/>
                <w:szCs w:val="18"/>
              </w:rPr>
              <w:t>的处罚</w:t>
            </w:r>
          </w:p>
        </w:tc>
        <w:tc>
          <w:tcPr>
            <w:tcW w:w="701" w:type="dxa"/>
            <w:vAlign w:val="center"/>
          </w:tcPr>
          <w:p>
            <w:pPr>
              <w:spacing w:line="240" w:lineRule="exact"/>
              <w:rPr>
                <w:rFonts w:cs="Times New Roman"/>
                <w:sz w:val="18"/>
                <w:szCs w:val="18"/>
              </w:rPr>
            </w:pPr>
            <w:r>
              <w:rPr>
                <w:rFonts w:cs="Times New Roman"/>
                <w:sz w:val="18"/>
                <w:szCs w:val="18"/>
              </w:rPr>
              <w:t>　</w:t>
            </w:r>
          </w:p>
        </w:tc>
        <w:tc>
          <w:tcPr>
            <w:tcW w:w="2469" w:type="dxa"/>
            <w:vAlign w:val="center"/>
          </w:tcPr>
          <w:p>
            <w:pPr>
              <w:spacing w:line="240" w:lineRule="exact"/>
              <w:ind w:firstLine="270" w:firstLineChars="150"/>
              <w:rPr>
                <w:color w:val="000000"/>
                <w:sz w:val="18"/>
                <w:szCs w:val="18"/>
              </w:rPr>
            </w:pPr>
            <w:r>
              <w:rPr>
                <w:rFonts w:cs="Times New Roman"/>
                <w:sz w:val="18"/>
                <w:szCs w:val="18"/>
              </w:rPr>
              <w:t>【法规】《广西壮族自治区陆生野生动物保护管理规定》（1994年7月29日广西壮族自治区第八届人大常委会第10次会议通过，2012年3月23日修正）第二十五条：违法经营陆生野生动物及其产品的，工商行政管理部门可以责令其停业，林业行政主管部门可以吊销其经营利用许可证。</w:t>
            </w:r>
          </w:p>
        </w:tc>
        <w:tc>
          <w:tcPr>
            <w:tcW w:w="2320"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53"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6"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2"/>
        <w:gridCol w:w="750"/>
        <w:gridCol w:w="843"/>
        <w:gridCol w:w="2453"/>
        <w:gridCol w:w="2323"/>
        <w:gridCol w:w="7459"/>
        <w:gridCol w:w="1557"/>
        <w:gridCol w:w="4674"/>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828" w:type="dxa"/>
            <w:vAlign w:val="center"/>
          </w:tcPr>
          <w:p>
            <w:pPr>
              <w:spacing w:line="280" w:lineRule="exact"/>
              <w:jc w:val="center"/>
              <w:rPr>
                <w:rFonts w:cs="Times New Roman"/>
                <w:sz w:val="18"/>
                <w:szCs w:val="18"/>
              </w:rPr>
            </w:pPr>
            <w:r>
              <w:rPr>
                <w:rFonts w:cs="Times New Roman"/>
                <w:sz w:val="18"/>
                <w:szCs w:val="18"/>
              </w:rPr>
              <w:t>序号</w:t>
            </w:r>
          </w:p>
        </w:tc>
        <w:tc>
          <w:tcPr>
            <w:tcW w:w="702" w:type="dxa"/>
            <w:vAlign w:val="center"/>
          </w:tcPr>
          <w:p>
            <w:pPr>
              <w:spacing w:line="280" w:lineRule="exact"/>
              <w:jc w:val="center"/>
              <w:rPr>
                <w:rFonts w:cs="Times New Roman"/>
                <w:sz w:val="18"/>
                <w:szCs w:val="18"/>
              </w:rPr>
            </w:pPr>
            <w:r>
              <w:rPr>
                <w:rFonts w:cs="Times New Roman"/>
                <w:sz w:val="18"/>
                <w:szCs w:val="18"/>
              </w:rPr>
              <w:t>权力分类</w:t>
            </w:r>
          </w:p>
        </w:tc>
        <w:tc>
          <w:tcPr>
            <w:tcW w:w="750" w:type="dxa"/>
            <w:vAlign w:val="center"/>
          </w:tcPr>
          <w:p>
            <w:pPr>
              <w:spacing w:line="280" w:lineRule="exact"/>
              <w:jc w:val="center"/>
              <w:rPr>
                <w:rFonts w:cs="Times New Roman"/>
                <w:sz w:val="18"/>
                <w:szCs w:val="18"/>
              </w:rPr>
            </w:pPr>
            <w:r>
              <w:rPr>
                <w:rFonts w:cs="Times New Roman"/>
                <w:sz w:val="18"/>
                <w:szCs w:val="18"/>
              </w:rPr>
              <w:t>项目名称</w:t>
            </w:r>
          </w:p>
        </w:tc>
        <w:tc>
          <w:tcPr>
            <w:tcW w:w="843" w:type="dxa"/>
            <w:vAlign w:val="center"/>
          </w:tcPr>
          <w:p>
            <w:pPr>
              <w:spacing w:line="280" w:lineRule="exact"/>
              <w:jc w:val="center"/>
              <w:rPr>
                <w:rFonts w:cs="Times New Roman"/>
                <w:sz w:val="18"/>
                <w:szCs w:val="18"/>
              </w:rPr>
            </w:pPr>
            <w:r>
              <w:rPr>
                <w:rFonts w:cs="Times New Roman"/>
                <w:sz w:val="18"/>
                <w:szCs w:val="18"/>
              </w:rPr>
              <w:t>子项</w:t>
            </w:r>
          </w:p>
        </w:tc>
        <w:tc>
          <w:tcPr>
            <w:tcW w:w="2453" w:type="dxa"/>
            <w:vAlign w:val="center"/>
          </w:tcPr>
          <w:p>
            <w:pPr>
              <w:spacing w:line="280" w:lineRule="exact"/>
              <w:jc w:val="center"/>
              <w:rPr>
                <w:rFonts w:cs="Times New Roman"/>
                <w:sz w:val="18"/>
                <w:szCs w:val="18"/>
              </w:rPr>
            </w:pPr>
            <w:r>
              <w:rPr>
                <w:rFonts w:cs="Times New Roman"/>
                <w:sz w:val="18"/>
                <w:szCs w:val="18"/>
              </w:rPr>
              <w:t>实施依据</w:t>
            </w:r>
          </w:p>
        </w:tc>
        <w:tc>
          <w:tcPr>
            <w:tcW w:w="2323" w:type="dxa"/>
            <w:vAlign w:val="center"/>
          </w:tcPr>
          <w:p>
            <w:pPr>
              <w:spacing w:line="280" w:lineRule="exact"/>
              <w:jc w:val="center"/>
              <w:rPr>
                <w:rFonts w:cs="Times New Roman"/>
                <w:sz w:val="18"/>
                <w:szCs w:val="18"/>
              </w:rPr>
            </w:pPr>
            <w:r>
              <w:rPr>
                <w:rFonts w:cs="Times New Roman"/>
                <w:sz w:val="18"/>
                <w:szCs w:val="18"/>
              </w:rPr>
              <w:t>责任事项</w:t>
            </w:r>
          </w:p>
        </w:tc>
        <w:tc>
          <w:tcPr>
            <w:tcW w:w="7459"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4"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7" w:hRule="atLeast"/>
          <w:jc w:val="center"/>
        </w:trPr>
        <w:tc>
          <w:tcPr>
            <w:tcW w:w="828" w:type="dxa"/>
            <w:vAlign w:val="center"/>
          </w:tcPr>
          <w:p>
            <w:pPr>
              <w:spacing w:line="240" w:lineRule="exact"/>
              <w:jc w:val="center"/>
              <w:rPr>
                <w:rFonts w:cs="Times New Roman"/>
                <w:sz w:val="18"/>
                <w:szCs w:val="18"/>
              </w:rPr>
            </w:pPr>
            <w:r>
              <w:rPr>
                <w:rFonts w:hint="eastAsia" w:cs="Times New Roman"/>
                <w:sz w:val="18"/>
                <w:szCs w:val="18"/>
              </w:rPr>
              <w:t>31</w:t>
            </w:r>
          </w:p>
        </w:tc>
        <w:tc>
          <w:tcPr>
            <w:tcW w:w="702"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50" w:type="dxa"/>
            <w:vAlign w:val="center"/>
          </w:tcPr>
          <w:p>
            <w:pPr>
              <w:spacing w:line="240" w:lineRule="exact"/>
              <w:rPr>
                <w:rFonts w:cs="Times New Roman"/>
                <w:sz w:val="18"/>
                <w:szCs w:val="18"/>
              </w:rPr>
            </w:pPr>
            <w:r>
              <w:rPr>
                <w:rFonts w:cs="Times New Roman"/>
                <w:sz w:val="18"/>
                <w:szCs w:val="18"/>
              </w:rPr>
              <w:t>对</w:t>
            </w:r>
            <w:r>
              <w:rPr>
                <w:rFonts w:hint="eastAsia" w:cs="Times New Roman"/>
                <w:sz w:val="18"/>
                <w:szCs w:val="18"/>
              </w:rPr>
              <w:t>擅自移动或者破坏，自然保护区界标或者在自然保护区内不服从管理机构管理等行为的处罚</w:t>
            </w:r>
          </w:p>
        </w:tc>
        <w:tc>
          <w:tcPr>
            <w:tcW w:w="843" w:type="dxa"/>
            <w:vAlign w:val="center"/>
          </w:tcPr>
          <w:p>
            <w:pPr>
              <w:spacing w:line="240" w:lineRule="exact"/>
              <w:rPr>
                <w:rFonts w:cs="Times New Roman"/>
                <w:sz w:val="18"/>
                <w:szCs w:val="18"/>
              </w:rPr>
            </w:pPr>
            <w:r>
              <w:rPr>
                <w:rFonts w:cs="Times New Roman"/>
                <w:sz w:val="18"/>
                <w:szCs w:val="18"/>
              </w:rPr>
              <w:t>　</w:t>
            </w:r>
          </w:p>
        </w:tc>
        <w:tc>
          <w:tcPr>
            <w:tcW w:w="2453" w:type="dxa"/>
            <w:vAlign w:val="center"/>
          </w:tcPr>
          <w:p>
            <w:pPr>
              <w:spacing w:line="240" w:lineRule="exact"/>
              <w:ind w:firstLine="270" w:firstLineChars="150"/>
              <w:rPr>
                <w:color w:val="000000"/>
                <w:sz w:val="18"/>
                <w:szCs w:val="18"/>
              </w:rPr>
            </w:pPr>
            <w:r>
              <w:rPr>
                <w:rFonts w:cs="Times New Roman"/>
                <w:sz w:val="18"/>
                <w:szCs w:val="18"/>
              </w:rPr>
              <w:t>【法规】《中华人民共和国自然保护区条例》（1994年10月9日中华人民共和国国务院令第167号发布，</w:t>
            </w:r>
            <w:r>
              <w:rPr>
                <w:rFonts w:hint="eastAsia" w:cs="Times New Roman"/>
                <w:sz w:val="18"/>
                <w:szCs w:val="18"/>
              </w:rPr>
              <w:t xml:space="preserve">2011年1月8日国务院令第588号第一次修改 </w:t>
            </w:r>
            <w:r>
              <w:rPr>
                <w:rFonts w:cs="Times New Roman"/>
                <w:sz w:val="18"/>
                <w:szCs w:val="18"/>
              </w:rPr>
              <w:t>）第三十四条 违反本条例规定的，有下列行为之一的单位和个人，由自然保护区管理机构责令其改正，并可以根据不同情节处以100元以上5000元以下的罚款：（一）擅自移动或者破坏自然保护区界标的；（二）未经批准进入自然保护区或者在自然保护区内不服从管理机构管理的；（三）经批准在自然保护区的缓冲区内从事科学研究、教学实习和标本采集的单位和个人，不向自然保护区管理机构提交活动成果副本的。</w:t>
            </w:r>
          </w:p>
        </w:tc>
        <w:tc>
          <w:tcPr>
            <w:tcW w:w="2323"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59"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740"/>
        <w:gridCol w:w="732"/>
        <w:gridCol w:w="844"/>
        <w:gridCol w:w="2456"/>
        <w:gridCol w:w="2324"/>
        <w:gridCol w:w="7465"/>
        <w:gridCol w:w="1560"/>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810"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732" w:type="dxa"/>
            <w:vAlign w:val="center"/>
          </w:tcPr>
          <w:p>
            <w:pPr>
              <w:spacing w:line="280" w:lineRule="exact"/>
              <w:jc w:val="center"/>
              <w:rPr>
                <w:rFonts w:cs="Times New Roman"/>
                <w:sz w:val="18"/>
                <w:szCs w:val="18"/>
              </w:rPr>
            </w:pPr>
            <w:r>
              <w:rPr>
                <w:rFonts w:cs="Times New Roman"/>
                <w:sz w:val="18"/>
                <w:szCs w:val="18"/>
              </w:rPr>
              <w:t>项目名称</w:t>
            </w:r>
          </w:p>
        </w:tc>
        <w:tc>
          <w:tcPr>
            <w:tcW w:w="844" w:type="dxa"/>
            <w:vAlign w:val="center"/>
          </w:tcPr>
          <w:p>
            <w:pPr>
              <w:spacing w:line="280" w:lineRule="exact"/>
              <w:jc w:val="center"/>
              <w:rPr>
                <w:rFonts w:cs="Times New Roman"/>
                <w:sz w:val="18"/>
                <w:szCs w:val="18"/>
              </w:rPr>
            </w:pPr>
            <w:r>
              <w:rPr>
                <w:rFonts w:cs="Times New Roman"/>
                <w:sz w:val="18"/>
                <w:szCs w:val="18"/>
              </w:rPr>
              <w:t>子项</w:t>
            </w:r>
          </w:p>
        </w:tc>
        <w:tc>
          <w:tcPr>
            <w:tcW w:w="2456" w:type="dxa"/>
            <w:vAlign w:val="center"/>
          </w:tcPr>
          <w:p>
            <w:pPr>
              <w:spacing w:line="280" w:lineRule="exact"/>
              <w:jc w:val="center"/>
              <w:rPr>
                <w:rFonts w:cs="Times New Roman"/>
                <w:sz w:val="18"/>
                <w:szCs w:val="18"/>
              </w:rPr>
            </w:pPr>
            <w:r>
              <w:rPr>
                <w:rFonts w:cs="Times New Roman"/>
                <w:sz w:val="18"/>
                <w:szCs w:val="18"/>
              </w:rPr>
              <w:t>实施依据</w:t>
            </w:r>
          </w:p>
        </w:tc>
        <w:tc>
          <w:tcPr>
            <w:tcW w:w="2324" w:type="dxa"/>
            <w:vAlign w:val="center"/>
          </w:tcPr>
          <w:p>
            <w:pPr>
              <w:spacing w:line="280" w:lineRule="exact"/>
              <w:jc w:val="center"/>
              <w:rPr>
                <w:rFonts w:cs="Times New Roman"/>
                <w:sz w:val="18"/>
                <w:szCs w:val="18"/>
              </w:rPr>
            </w:pPr>
            <w:r>
              <w:rPr>
                <w:rFonts w:cs="Times New Roman"/>
                <w:sz w:val="18"/>
                <w:szCs w:val="18"/>
              </w:rPr>
              <w:t>责任事项</w:t>
            </w:r>
          </w:p>
        </w:tc>
        <w:tc>
          <w:tcPr>
            <w:tcW w:w="7465" w:type="dxa"/>
            <w:vAlign w:val="center"/>
          </w:tcPr>
          <w:p>
            <w:pPr>
              <w:spacing w:line="280" w:lineRule="exact"/>
              <w:jc w:val="center"/>
              <w:rPr>
                <w:rFonts w:cs="Times New Roman"/>
                <w:sz w:val="18"/>
                <w:szCs w:val="18"/>
              </w:rPr>
            </w:pPr>
            <w:r>
              <w:rPr>
                <w:rFonts w:cs="Times New Roman"/>
                <w:sz w:val="18"/>
                <w:szCs w:val="18"/>
              </w:rPr>
              <w:t>责任事项依据</w:t>
            </w:r>
          </w:p>
        </w:tc>
        <w:tc>
          <w:tcPr>
            <w:tcW w:w="1560"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1" w:hRule="atLeast"/>
          <w:jc w:val="center"/>
        </w:trPr>
        <w:tc>
          <w:tcPr>
            <w:tcW w:w="810" w:type="dxa"/>
            <w:vAlign w:val="center"/>
          </w:tcPr>
          <w:p>
            <w:pPr>
              <w:spacing w:line="240" w:lineRule="exact"/>
              <w:jc w:val="center"/>
              <w:rPr>
                <w:rFonts w:cs="Times New Roman"/>
                <w:sz w:val="18"/>
                <w:szCs w:val="18"/>
              </w:rPr>
            </w:pPr>
            <w:r>
              <w:rPr>
                <w:rFonts w:hint="eastAsia" w:cs="Times New Roman"/>
                <w:sz w:val="18"/>
                <w:szCs w:val="18"/>
              </w:rPr>
              <w:t>32</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32" w:type="dxa"/>
            <w:vAlign w:val="center"/>
          </w:tcPr>
          <w:p>
            <w:pPr>
              <w:spacing w:line="240" w:lineRule="exact"/>
              <w:rPr>
                <w:rFonts w:cs="Times New Roman"/>
                <w:sz w:val="18"/>
                <w:szCs w:val="18"/>
              </w:rPr>
            </w:pPr>
            <w:r>
              <w:rPr>
                <w:rFonts w:cs="Times New Roman"/>
                <w:sz w:val="18"/>
                <w:szCs w:val="18"/>
              </w:rPr>
              <w:t>对在自然保护区违法进行砍伐、放牧、狩猎、捕捞、采药、开垦、烧荒、开矿采石、挖沙等活动的处罚</w:t>
            </w:r>
          </w:p>
        </w:tc>
        <w:tc>
          <w:tcPr>
            <w:tcW w:w="844" w:type="dxa"/>
            <w:vAlign w:val="center"/>
          </w:tcPr>
          <w:p>
            <w:pPr>
              <w:spacing w:line="240" w:lineRule="exact"/>
              <w:rPr>
                <w:rFonts w:cs="Times New Roman"/>
                <w:sz w:val="18"/>
                <w:szCs w:val="18"/>
              </w:rPr>
            </w:pPr>
            <w:r>
              <w:rPr>
                <w:rFonts w:cs="Times New Roman"/>
                <w:sz w:val="18"/>
                <w:szCs w:val="18"/>
              </w:rPr>
              <w:t>　</w:t>
            </w:r>
          </w:p>
        </w:tc>
        <w:tc>
          <w:tcPr>
            <w:tcW w:w="2456" w:type="dxa"/>
            <w:vAlign w:val="center"/>
          </w:tcPr>
          <w:p>
            <w:pPr>
              <w:spacing w:line="240" w:lineRule="exact"/>
              <w:ind w:firstLine="360" w:firstLineChars="200"/>
              <w:rPr>
                <w:color w:val="000000"/>
                <w:sz w:val="18"/>
                <w:szCs w:val="18"/>
              </w:rPr>
            </w:pPr>
            <w:r>
              <w:rPr>
                <w:rFonts w:cs="Times New Roman"/>
                <w:sz w:val="18"/>
                <w:szCs w:val="18"/>
              </w:rPr>
              <w:t>【法规】《中华人民共和国自然保护区条例》（1994年10月9日中华人民共和国国务院令第167号发布，2011年1月8日国务院令第588号第一次修改 ）第三十五条　违反本条例规定，在自然保护区进行砍伐、放牧、狩猎、捕捞、采药、开垦、烧荒、开矿、采石、挖沙等活动的单位和个人，除可以依照有关法律、行政法规规定给予处罚的以外，由县级以上人民政府有关自然保护区行政主管部门或者其授权的自然保护区管理机构没收违法所得，责令停止违法行为，限期恢复原状或者采取其他补救措施；对自然保护区造成破坏的，可以处以</w:t>
            </w:r>
            <w:r>
              <w:rPr>
                <w:rFonts w:hint="eastAsia" w:cs="Times New Roman"/>
                <w:sz w:val="18"/>
                <w:szCs w:val="18"/>
              </w:rPr>
              <w:t>300</w:t>
            </w:r>
            <w:r>
              <w:rPr>
                <w:rFonts w:cs="Times New Roman"/>
                <w:sz w:val="18"/>
                <w:szCs w:val="18"/>
              </w:rPr>
              <w:t>元以上</w:t>
            </w:r>
            <w:r>
              <w:rPr>
                <w:rFonts w:hint="eastAsia" w:cs="Times New Roman"/>
                <w:sz w:val="18"/>
                <w:szCs w:val="18"/>
              </w:rPr>
              <w:t>10000</w:t>
            </w:r>
            <w:r>
              <w:rPr>
                <w:rFonts w:cs="Times New Roman"/>
                <w:sz w:val="18"/>
                <w:szCs w:val="18"/>
              </w:rPr>
              <w:t>元以下的罚款</w:t>
            </w:r>
          </w:p>
        </w:tc>
        <w:tc>
          <w:tcPr>
            <w:tcW w:w="2324"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6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738"/>
        <w:gridCol w:w="769"/>
        <w:gridCol w:w="843"/>
        <w:gridCol w:w="2450"/>
        <w:gridCol w:w="2320"/>
        <w:gridCol w:w="7453"/>
        <w:gridCol w:w="1556"/>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771" w:type="dxa"/>
            <w:vAlign w:val="center"/>
          </w:tcPr>
          <w:p>
            <w:pPr>
              <w:spacing w:line="280" w:lineRule="exact"/>
              <w:jc w:val="center"/>
              <w:rPr>
                <w:rFonts w:cs="Times New Roman"/>
                <w:sz w:val="18"/>
                <w:szCs w:val="18"/>
              </w:rPr>
            </w:pPr>
            <w:r>
              <w:rPr>
                <w:rFonts w:cs="Times New Roman"/>
                <w:sz w:val="18"/>
                <w:szCs w:val="18"/>
              </w:rPr>
              <w:t>序号</w:t>
            </w:r>
          </w:p>
        </w:tc>
        <w:tc>
          <w:tcPr>
            <w:tcW w:w="738" w:type="dxa"/>
            <w:vAlign w:val="center"/>
          </w:tcPr>
          <w:p>
            <w:pPr>
              <w:spacing w:line="280" w:lineRule="exact"/>
              <w:jc w:val="center"/>
              <w:rPr>
                <w:rFonts w:cs="Times New Roman"/>
                <w:sz w:val="18"/>
                <w:szCs w:val="18"/>
              </w:rPr>
            </w:pPr>
            <w:r>
              <w:rPr>
                <w:rFonts w:cs="Times New Roman"/>
                <w:sz w:val="18"/>
                <w:szCs w:val="18"/>
              </w:rPr>
              <w:t>权力分类</w:t>
            </w:r>
          </w:p>
        </w:tc>
        <w:tc>
          <w:tcPr>
            <w:tcW w:w="769" w:type="dxa"/>
            <w:vAlign w:val="center"/>
          </w:tcPr>
          <w:p>
            <w:pPr>
              <w:spacing w:line="280" w:lineRule="exact"/>
              <w:jc w:val="center"/>
              <w:rPr>
                <w:rFonts w:cs="Times New Roman"/>
                <w:sz w:val="18"/>
                <w:szCs w:val="18"/>
              </w:rPr>
            </w:pPr>
            <w:r>
              <w:rPr>
                <w:rFonts w:cs="Times New Roman"/>
                <w:sz w:val="18"/>
                <w:szCs w:val="18"/>
              </w:rPr>
              <w:t>项目名称</w:t>
            </w:r>
          </w:p>
        </w:tc>
        <w:tc>
          <w:tcPr>
            <w:tcW w:w="843" w:type="dxa"/>
            <w:vAlign w:val="center"/>
          </w:tcPr>
          <w:p>
            <w:pPr>
              <w:spacing w:line="280" w:lineRule="exact"/>
              <w:jc w:val="center"/>
              <w:rPr>
                <w:rFonts w:cs="Times New Roman"/>
                <w:sz w:val="18"/>
                <w:szCs w:val="18"/>
              </w:rPr>
            </w:pPr>
            <w:r>
              <w:rPr>
                <w:rFonts w:cs="Times New Roman"/>
                <w:sz w:val="18"/>
                <w:szCs w:val="18"/>
              </w:rPr>
              <w:t>子项</w:t>
            </w:r>
          </w:p>
        </w:tc>
        <w:tc>
          <w:tcPr>
            <w:tcW w:w="2450" w:type="dxa"/>
            <w:vAlign w:val="center"/>
          </w:tcPr>
          <w:p>
            <w:pPr>
              <w:spacing w:line="280" w:lineRule="exact"/>
              <w:jc w:val="center"/>
              <w:rPr>
                <w:rFonts w:cs="Times New Roman"/>
                <w:sz w:val="18"/>
                <w:szCs w:val="18"/>
              </w:rPr>
            </w:pPr>
            <w:r>
              <w:rPr>
                <w:rFonts w:cs="Times New Roman"/>
                <w:sz w:val="18"/>
                <w:szCs w:val="18"/>
              </w:rPr>
              <w:t>实施依据</w:t>
            </w:r>
          </w:p>
        </w:tc>
        <w:tc>
          <w:tcPr>
            <w:tcW w:w="2320" w:type="dxa"/>
            <w:vAlign w:val="center"/>
          </w:tcPr>
          <w:p>
            <w:pPr>
              <w:spacing w:line="280" w:lineRule="exact"/>
              <w:jc w:val="center"/>
              <w:rPr>
                <w:rFonts w:cs="Times New Roman"/>
                <w:sz w:val="18"/>
                <w:szCs w:val="18"/>
              </w:rPr>
            </w:pPr>
            <w:r>
              <w:rPr>
                <w:rFonts w:cs="Times New Roman"/>
                <w:sz w:val="18"/>
                <w:szCs w:val="18"/>
              </w:rPr>
              <w:t>责任事项</w:t>
            </w:r>
          </w:p>
        </w:tc>
        <w:tc>
          <w:tcPr>
            <w:tcW w:w="7453" w:type="dxa"/>
            <w:vAlign w:val="center"/>
          </w:tcPr>
          <w:p>
            <w:pPr>
              <w:spacing w:line="280" w:lineRule="exact"/>
              <w:jc w:val="center"/>
              <w:rPr>
                <w:rFonts w:cs="Times New Roman"/>
                <w:sz w:val="18"/>
                <w:szCs w:val="18"/>
              </w:rPr>
            </w:pPr>
            <w:r>
              <w:rPr>
                <w:rFonts w:cs="Times New Roman"/>
                <w:sz w:val="18"/>
                <w:szCs w:val="18"/>
              </w:rPr>
              <w:t>责任事项依据</w:t>
            </w:r>
          </w:p>
        </w:tc>
        <w:tc>
          <w:tcPr>
            <w:tcW w:w="1556"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6" w:hRule="atLeast"/>
          <w:jc w:val="center"/>
        </w:trPr>
        <w:tc>
          <w:tcPr>
            <w:tcW w:w="771" w:type="dxa"/>
            <w:vAlign w:val="center"/>
          </w:tcPr>
          <w:p>
            <w:pPr>
              <w:spacing w:line="240" w:lineRule="exact"/>
              <w:jc w:val="center"/>
              <w:rPr>
                <w:rFonts w:cs="Times New Roman"/>
                <w:sz w:val="18"/>
                <w:szCs w:val="18"/>
              </w:rPr>
            </w:pPr>
            <w:r>
              <w:rPr>
                <w:rFonts w:hint="eastAsia" w:cs="Times New Roman"/>
                <w:sz w:val="18"/>
                <w:szCs w:val="18"/>
              </w:rPr>
              <w:t>33</w:t>
            </w:r>
          </w:p>
        </w:tc>
        <w:tc>
          <w:tcPr>
            <w:tcW w:w="738"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69" w:type="dxa"/>
            <w:vAlign w:val="center"/>
          </w:tcPr>
          <w:p>
            <w:pPr>
              <w:spacing w:line="240" w:lineRule="exact"/>
              <w:rPr>
                <w:rFonts w:cs="Times New Roman"/>
                <w:sz w:val="18"/>
                <w:szCs w:val="18"/>
              </w:rPr>
            </w:pPr>
            <w:r>
              <w:rPr>
                <w:rFonts w:cs="Times New Roman"/>
                <w:sz w:val="18"/>
                <w:szCs w:val="18"/>
              </w:rPr>
              <w:t>对未取得采集证或者未按照采集证的规定采集国家重点保护野生植物的处罚</w:t>
            </w:r>
          </w:p>
        </w:tc>
        <w:tc>
          <w:tcPr>
            <w:tcW w:w="843" w:type="dxa"/>
            <w:vAlign w:val="center"/>
          </w:tcPr>
          <w:p>
            <w:pPr>
              <w:spacing w:line="240" w:lineRule="exact"/>
              <w:rPr>
                <w:rFonts w:cs="Times New Roman"/>
                <w:sz w:val="18"/>
                <w:szCs w:val="18"/>
              </w:rPr>
            </w:pPr>
            <w:r>
              <w:rPr>
                <w:rFonts w:cs="Times New Roman"/>
                <w:sz w:val="18"/>
                <w:szCs w:val="18"/>
              </w:rPr>
              <w:t>　</w:t>
            </w:r>
          </w:p>
        </w:tc>
        <w:tc>
          <w:tcPr>
            <w:tcW w:w="2450" w:type="dxa"/>
            <w:vAlign w:val="center"/>
          </w:tcPr>
          <w:p>
            <w:pPr>
              <w:spacing w:line="240" w:lineRule="exact"/>
              <w:ind w:firstLine="360" w:firstLineChars="200"/>
              <w:rPr>
                <w:color w:val="000000"/>
                <w:sz w:val="18"/>
                <w:szCs w:val="18"/>
              </w:rPr>
            </w:pPr>
            <w:r>
              <w:rPr>
                <w:rFonts w:cs="Times New Roman"/>
                <w:sz w:val="18"/>
                <w:szCs w:val="18"/>
              </w:rPr>
              <w:t>【法规】《中华人民共和国野生植物保护条例》(1996年9月30日国务院令第204号公布)第二十三条未取得采集证或者未按照采集证的规定采集国家重点保护野生植物的，由野生植物行政主管部门没收所采集的野生植物和违法所得，可以并处违法所得10倍以下的罚款；有采集证的，并可以吊销采集证。</w:t>
            </w:r>
          </w:p>
        </w:tc>
        <w:tc>
          <w:tcPr>
            <w:tcW w:w="2320"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53"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6"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759"/>
        <w:gridCol w:w="751"/>
        <w:gridCol w:w="844"/>
        <w:gridCol w:w="2456"/>
        <w:gridCol w:w="2324"/>
        <w:gridCol w:w="7465"/>
        <w:gridCol w:w="1560"/>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772" w:type="dxa"/>
            <w:vAlign w:val="center"/>
          </w:tcPr>
          <w:p>
            <w:pPr>
              <w:spacing w:line="280" w:lineRule="exact"/>
              <w:jc w:val="center"/>
              <w:rPr>
                <w:rFonts w:cs="Times New Roman"/>
                <w:sz w:val="18"/>
                <w:szCs w:val="18"/>
              </w:rPr>
            </w:pPr>
            <w:r>
              <w:rPr>
                <w:rFonts w:cs="Times New Roman"/>
                <w:sz w:val="18"/>
                <w:szCs w:val="18"/>
              </w:rPr>
              <w:t>序号</w:t>
            </w:r>
          </w:p>
        </w:tc>
        <w:tc>
          <w:tcPr>
            <w:tcW w:w="759" w:type="dxa"/>
            <w:vAlign w:val="center"/>
          </w:tcPr>
          <w:p>
            <w:pPr>
              <w:spacing w:line="280" w:lineRule="exact"/>
              <w:jc w:val="center"/>
              <w:rPr>
                <w:rFonts w:cs="Times New Roman"/>
                <w:sz w:val="18"/>
                <w:szCs w:val="18"/>
              </w:rPr>
            </w:pPr>
            <w:r>
              <w:rPr>
                <w:rFonts w:cs="Times New Roman"/>
                <w:sz w:val="18"/>
                <w:szCs w:val="18"/>
              </w:rPr>
              <w:t>权力分类</w:t>
            </w:r>
          </w:p>
        </w:tc>
        <w:tc>
          <w:tcPr>
            <w:tcW w:w="751" w:type="dxa"/>
            <w:vAlign w:val="center"/>
          </w:tcPr>
          <w:p>
            <w:pPr>
              <w:spacing w:line="280" w:lineRule="exact"/>
              <w:jc w:val="center"/>
              <w:rPr>
                <w:rFonts w:cs="Times New Roman"/>
                <w:sz w:val="18"/>
                <w:szCs w:val="18"/>
              </w:rPr>
            </w:pPr>
            <w:r>
              <w:rPr>
                <w:rFonts w:cs="Times New Roman"/>
                <w:sz w:val="18"/>
                <w:szCs w:val="18"/>
              </w:rPr>
              <w:t>项目名称</w:t>
            </w:r>
          </w:p>
        </w:tc>
        <w:tc>
          <w:tcPr>
            <w:tcW w:w="844" w:type="dxa"/>
            <w:vAlign w:val="center"/>
          </w:tcPr>
          <w:p>
            <w:pPr>
              <w:spacing w:line="280" w:lineRule="exact"/>
              <w:jc w:val="center"/>
              <w:rPr>
                <w:rFonts w:cs="Times New Roman"/>
                <w:sz w:val="18"/>
                <w:szCs w:val="18"/>
              </w:rPr>
            </w:pPr>
            <w:r>
              <w:rPr>
                <w:rFonts w:cs="Times New Roman"/>
                <w:sz w:val="18"/>
                <w:szCs w:val="18"/>
              </w:rPr>
              <w:t>子项</w:t>
            </w:r>
          </w:p>
        </w:tc>
        <w:tc>
          <w:tcPr>
            <w:tcW w:w="2456" w:type="dxa"/>
            <w:vAlign w:val="center"/>
          </w:tcPr>
          <w:p>
            <w:pPr>
              <w:spacing w:line="280" w:lineRule="exact"/>
              <w:jc w:val="center"/>
              <w:rPr>
                <w:rFonts w:cs="Times New Roman"/>
                <w:sz w:val="18"/>
                <w:szCs w:val="18"/>
              </w:rPr>
            </w:pPr>
            <w:r>
              <w:rPr>
                <w:rFonts w:cs="Times New Roman"/>
                <w:sz w:val="18"/>
                <w:szCs w:val="18"/>
              </w:rPr>
              <w:t>实施依据</w:t>
            </w:r>
          </w:p>
        </w:tc>
        <w:tc>
          <w:tcPr>
            <w:tcW w:w="2324" w:type="dxa"/>
            <w:vAlign w:val="center"/>
          </w:tcPr>
          <w:p>
            <w:pPr>
              <w:spacing w:line="280" w:lineRule="exact"/>
              <w:jc w:val="center"/>
              <w:rPr>
                <w:rFonts w:cs="Times New Roman"/>
                <w:sz w:val="18"/>
                <w:szCs w:val="18"/>
              </w:rPr>
            </w:pPr>
            <w:r>
              <w:rPr>
                <w:rFonts w:cs="Times New Roman"/>
                <w:sz w:val="18"/>
                <w:szCs w:val="18"/>
              </w:rPr>
              <w:t>责任事项</w:t>
            </w:r>
          </w:p>
        </w:tc>
        <w:tc>
          <w:tcPr>
            <w:tcW w:w="7465" w:type="dxa"/>
            <w:vAlign w:val="center"/>
          </w:tcPr>
          <w:p>
            <w:pPr>
              <w:spacing w:line="280" w:lineRule="exact"/>
              <w:jc w:val="center"/>
              <w:rPr>
                <w:rFonts w:cs="Times New Roman"/>
                <w:sz w:val="18"/>
                <w:szCs w:val="18"/>
              </w:rPr>
            </w:pPr>
            <w:r>
              <w:rPr>
                <w:rFonts w:cs="Times New Roman"/>
                <w:sz w:val="18"/>
                <w:szCs w:val="18"/>
              </w:rPr>
              <w:t>责任事项依据</w:t>
            </w:r>
          </w:p>
        </w:tc>
        <w:tc>
          <w:tcPr>
            <w:tcW w:w="1560"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6" w:hRule="atLeast"/>
          <w:jc w:val="center"/>
        </w:trPr>
        <w:tc>
          <w:tcPr>
            <w:tcW w:w="772" w:type="dxa"/>
            <w:vAlign w:val="center"/>
          </w:tcPr>
          <w:p>
            <w:pPr>
              <w:spacing w:line="240" w:lineRule="exact"/>
              <w:jc w:val="center"/>
              <w:rPr>
                <w:rFonts w:cs="Times New Roman"/>
                <w:sz w:val="18"/>
                <w:szCs w:val="18"/>
              </w:rPr>
            </w:pPr>
            <w:r>
              <w:rPr>
                <w:rFonts w:hint="eastAsia" w:cs="Times New Roman"/>
                <w:sz w:val="18"/>
                <w:szCs w:val="18"/>
              </w:rPr>
              <w:t>34</w:t>
            </w:r>
          </w:p>
        </w:tc>
        <w:tc>
          <w:tcPr>
            <w:tcW w:w="759"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51" w:type="dxa"/>
            <w:vAlign w:val="center"/>
          </w:tcPr>
          <w:p>
            <w:pPr>
              <w:spacing w:line="240" w:lineRule="exact"/>
              <w:rPr>
                <w:rFonts w:cs="Times New Roman"/>
                <w:sz w:val="18"/>
                <w:szCs w:val="18"/>
              </w:rPr>
            </w:pPr>
            <w:r>
              <w:rPr>
                <w:rFonts w:cs="Times New Roman"/>
                <w:sz w:val="18"/>
                <w:szCs w:val="18"/>
              </w:rPr>
              <w:t>对违规出售、收购国家重点保护野生植物的处罚</w:t>
            </w:r>
          </w:p>
        </w:tc>
        <w:tc>
          <w:tcPr>
            <w:tcW w:w="844" w:type="dxa"/>
            <w:vAlign w:val="center"/>
          </w:tcPr>
          <w:p>
            <w:pPr>
              <w:spacing w:line="240" w:lineRule="exact"/>
              <w:rPr>
                <w:rFonts w:cs="Times New Roman"/>
                <w:sz w:val="18"/>
                <w:szCs w:val="18"/>
              </w:rPr>
            </w:pPr>
            <w:r>
              <w:rPr>
                <w:rFonts w:cs="Times New Roman"/>
                <w:sz w:val="18"/>
                <w:szCs w:val="18"/>
              </w:rPr>
              <w:t>　</w:t>
            </w:r>
          </w:p>
        </w:tc>
        <w:tc>
          <w:tcPr>
            <w:tcW w:w="2456" w:type="dxa"/>
            <w:vAlign w:val="center"/>
          </w:tcPr>
          <w:p>
            <w:pPr>
              <w:spacing w:line="240" w:lineRule="exact"/>
              <w:ind w:firstLine="360" w:firstLineChars="200"/>
              <w:rPr>
                <w:rFonts w:cs="Times New Roman"/>
                <w:sz w:val="18"/>
                <w:szCs w:val="18"/>
              </w:rPr>
            </w:pPr>
            <w:r>
              <w:rPr>
                <w:rFonts w:cs="Times New Roman"/>
                <w:sz w:val="18"/>
                <w:szCs w:val="18"/>
              </w:rPr>
              <w:t>【法规】《中华人民共和国野生植物保护条例》（1996年9月30日国务院第204号令公布）第二十四条违反本条例规定，出售、收购国家重点保护野生植物的，由工商行政管理部门或者野生植物行政主管部门按照职责分工没收野生植物和违法所得，可以并处违法所得10倍以下的罚款。</w:t>
            </w:r>
            <w:r>
              <w:rPr>
                <w:rFonts w:cs="Times New Roman"/>
                <w:sz w:val="18"/>
                <w:szCs w:val="18"/>
              </w:rPr>
              <w:br w:type="textWrapping"/>
            </w:r>
            <w:r>
              <w:rPr>
                <w:rFonts w:cs="Times New Roman"/>
                <w:sz w:val="18"/>
                <w:szCs w:val="18"/>
              </w:rPr>
              <w:t>【法规】《广西壮族自治区野生植物保护办法》(</w:t>
            </w:r>
            <w:r>
              <w:rPr>
                <w:rFonts w:hint="eastAsia" w:cs="Times New Roman"/>
                <w:sz w:val="18"/>
                <w:szCs w:val="18"/>
              </w:rPr>
              <w:t>2008年12月18日广西壮族自治区人民政府令第45号发布，2016年9月26日</w:t>
            </w:r>
            <w:r>
              <w:rPr>
                <w:rFonts w:cs="Times New Roman"/>
                <w:sz w:val="18"/>
                <w:szCs w:val="18"/>
              </w:rPr>
              <w:t>广西壮族自治区人民政府令第112号</w:t>
            </w:r>
            <w:r>
              <w:rPr>
                <w:rFonts w:hint="eastAsia" w:cs="Times New Roman"/>
                <w:sz w:val="18"/>
                <w:szCs w:val="18"/>
              </w:rPr>
              <w:t>修改</w:t>
            </w:r>
            <w:r>
              <w:rPr>
                <w:rFonts w:cs="Times New Roman"/>
                <w:sz w:val="18"/>
                <w:szCs w:val="18"/>
              </w:rPr>
              <w:t>）第三条 林业行政主管部门主管林区内野生植物和林区外珍贵野生树木；农业行政主管部门主管其他野生植物；建设行政主管部门主管城市园林、风景名胜区的野生植物。县级以上林业、农业和建设行政主管部门（以下统称野生植物行政主管部门），应当按照各自职责做好本行政区域内野生植物的监督管理工作。县级以上环境保护部门负责野生植物环境保护工作的协调和监督。其他有关部门依照职责分工负责有关的野生植物保护工作。</w:t>
            </w:r>
          </w:p>
          <w:p>
            <w:pPr>
              <w:spacing w:line="240" w:lineRule="exact"/>
              <w:ind w:firstLine="360" w:firstLineChars="200"/>
              <w:rPr>
                <w:color w:val="000000"/>
                <w:sz w:val="18"/>
                <w:szCs w:val="18"/>
              </w:rPr>
            </w:pPr>
            <w:r>
              <w:rPr>
                <w:rFonts w:cs="Times New Roman"/>
                <w:sz w:val="18"/>
                <w:szCs w:val="18"/>
              </w:rPr>
              <w:t>【规章】《林业行政执法证件管理办法》（林业部令[1997]12号）第三条第三款陆生野生动物和野生植物行政主管部门可以在法定权限内委托符合法定条件的组织实施行政处罚。</w:t>
            </w:r>
            <w:r>
              <w:rPr>
                <w:rFonts w:cs="Times New Roman"/>
                <w:sz w:val="18"/>
                <w:szCs w:val="18"/>
              </w:rPr>
              <w:br w:type="textWrapping"/>
            </w:r>
          </w:p>
        </w:tc>
        <w:tc>
          <w:tcPr>
            <w:tcW w:w="2324"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6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tbl>
      <w:tblPr>
        <w:tblStyle w:val="7"/>
        <w:tblpPr w:leftFromText="180" w:rightFromText="180" w:vertAnchor="text" w:horzAnchor="page" w:tblpX="867" w:tblpY="218"/>
        <w:tblOverlap w:val="never"/>
        <w:tblW w:w="221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739"/>
        <w:gridCol w:w="816"/>
        <w:gridCol w:w="777"/>
        <w:gridCol w:w="2450"/>
        <w:gridCol w:w="2320"/>
        <w:gridCol w:w="7452"/>
        <w:gridCol w:w="1557"/>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792" w:type="dxa"/>
            <w:vAlign w:val="center"/>
          </w:tcPr>
          <w:p>
            <w:pPr>
              <w:spacing w:line="280" w:lineRule="exact"/>
              <w:jc w:val="center"/>
              <w:rPr>
                <w:rFonts w:cs="Times New Roman"/>
                <w:sz w:val="18"/>
                <w:szCs w:val="18"/>
              </w:rPr>
            </w:pPr>
            <w:r>
              <w:rPr>
                <w:rFonts w:cs="Times New Roman"/>
                <w:sz w:val="18"/>
                <w:szCs w:val="18"/>
              </w:rPr>
              <w:t>序号</w:t>
            </w:r>
          </w:p>
        </w:tc>
        <w:tc>
          <w:tcPr>
            <w:tcW w:w="739" w:type="dxa"/>
            <w:vAlign w:val="center"/>
          </w:tcPr>
          <w:p>
            <w:pPr>
              <w:spacing w:line="280" w:lineRule="exact"/>
              <w:jc w:val="center"/>
              <w:rPr>
                <w:rFonts w:cs="Times New Roman"/>
                <w:sz w:val="18"/>
                <w:szCs w:val="18"/>
              </w:rPr>
            </w:pPr>
            <w:r>
              <w:rPr>
                <w:rFonts w:cs="Times New Roman"/>
                <w:sz w:val="18"/>
                <w:szCs w:val="18"/>
              </w:rPr>
              <w:t>权力分类</w:t>
            </w:r>
          </w:p>
        </w:tc>
        <w:tc>
          <w:tcPr>
            <w:tcW w:w="816" w:type="dxa"/>
            <w:vAlign w:val="center"/>
          </w:tcPr>
          <w:p>
            <w:pPr>
              <w:spacing w:line="280" w:lineRule="exact"/>
              <w:jc w:val="center"/>
              <w:rPr>
                <w:rFonts w:cs="Times New Roman"/>
                <w:sz w:val="18"/>
                <w:szCs w:val="18"/>
              </w:rPr>
            </w:pPr>
            <w:r>
              <w:rPr>
                <w:rFonts w:cs="Times New Roman"/>
                <w:sz w:val="18"/>
                <w:szCs w:val="18"/>
              </w:rPr>
              <w:t>项目名称</w:t>
            </w:r>
          </w:p>
        </w:tc>
        <w:tc>
          <w:tcPr>
            <w:tcW w:w="777" w:type="dxa"/>
            <w:vAlign w:val="center"/>
          </w:tcPr>
          <w:p>
            <w:pPr>
              <w:spacing w:line="280" w:lineRule="exact"/>
              <w:jc w:val="center"/>
              <w:rPr>
                <w:rFonts w:cs="Times New Roman"/>
                <w:sz w:val="18"/>
                <w:szCs w:val="18"/>
              </w:rPr>
            </w:pPr>
            <w:r>
              <w:rPr>
                <w:rFonts w:cs="Times New Roman"/>
                <w:sz w:val="18"/>
                <w:szCs w:val="18"/>
              </w:rPr>
              <w:t>子项</w:t>
            </w:r>
          </w:p>
        </w:tc>
        <w:tc>
          <w:tcPr>
            <w:tcW w:w="2450" w:type="dxa"/>
            <w:vAlign w:val="center"/>
          </w:tcPr>
          <w:p>
            <w:pPr>
              <w:spacing w:line="280" w:lineRule="exact"/>
              <w:jc w:val="center"/>
              <w:rPr>
                <w:rFonts w:cs="Times New Roman"/>
                <w:sz w:val="18"/>
                <w:szCs w:val="18"/>
              </w:rPr>
            </w:pPr>
            <w:r>
              <w:rPr>
                <w:rFonts w:cs="Times New Roman"/>
                <w:sz w:val="18"/>
                <w:szCs w:val="18"/>
              </w:rPr>
              <w:t>实施依据</w:t>
            </w:r>
          </w:p>
        </w:tc>
        <w:tc>
          <w:tcPr>
            <w:tcW w:w="2320" w:type="dxa"/>
            <w:vAlign w:val="center"/>
          </w:tcPr>
          <w:p>
            <w:pPr>
              <w:spacing w:line="280" w:lineRule="exact"/>
              <w:jc w:val="center"/>
              <w:rPr>
                <w:rFonts w:cs="Times New Roman"/>
                <w:sz w:val="18"/>
                <w:szCs w:val="18"/>
              </w:rPr>
            </w:pPr>
            <w:r>
              <w:rPr>
                <w:rFonts w:cs="Times New Roman"/>
                <w:sz w:val="18"/>
                <w:szCs w:val="18"/>
              </w:rPr>
              <w:t>责任事项</w:t>
            </w:r>
          </w:p>
        </w:tc>
        <w:tc>
          <w:tcPr>
            <w:tcW w:w="7452"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60" w:hRule="atLeast"/>
        </w:trPr>
        <w:tc>
          <w:tcPr>
            <w:tcW w:w="792" w:type="dxa"/>
            <w:vAlign w:val="center"/>
          </w:tcPr>
          <w:p>
            <w:pPr>
              <w:spacing w:line="240" w:lineRule="exact"/>
              <w:jc w:val="center"/>
              <w:rPr>
                <w:rFonts w:cs="Times New Roman"/>
                <w:sz w:val="18"/>
                <w:szCs w:val="18"/>
              </w:rPr>
            </w:pPr>
            <w:r>
              <w:rPr>
                <w:rFonts w:hint="eastAsia" w:cs="Times New Roman"/>
                <w:sz w:val="18"/>
                <w:szCs w:val="18"/>
              </w:rPr>
              <w:t>35</w:t>
            </w:r>
          </w:p>
        </w:tc>
        <w:tc>
          <w:tcPr>
            <w:tcW w:w="739"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16" w:type="dxa"/>
            <w:vAlign w:val="center"/>
          </w:tcPr>
          <w:p>
            <w:pPr>
              <w:spacing w:line="240" w:lineRule="exact"/>
              <w:rPr>
                <w:rFonts w:cs="Times New Roman"/>
                <w:sz w:val="18"/>
                <w:szCs w:val="18"/>
              </w:rPr>
            </w:pPr>
            <w:r>
              <w:rPr>
                <w:rFonts w:cs="Times New Roman"/>
                <w:sz w:val="18"/>
                <w:szCs w:val="18"/>
              </w:rPr>
              <w:t>对伪造、倒卖、转让采集证、允许进出口证明书或者有关批准文件、标签的处罚</w:t>
            </w:r>
          </w:p>
        </w:tc>
        <w:tc>
          <w:tcPr>
            <w:tcW w:w="777" w:type="dxa"/>
            <w:vAlign w:val="center"/>
          </w:tcPr>
          <w:p>
            <w:pPr>
              <w:spacing w:line="240" w:lineRule="exact"/>
              <w:rPr>
                <w:rFonts w:cs="Times New Roman"/>
                <w:sz w:val="18"/>
                <w:szCs w:val="18"/>
              </w:rPr>
            </w:pPr>
            <w:r>
              <w:rPr>
                <w:rFonts w:cs="Times New Roman"/>
                <w:sz w:val="18"/>
                <w:szCs w:val="18"/>
              </w:rPr>
              <w:t>　</w:t>
            </w:r>
          </w:p>
        </w:tc>
        <w:tc>
          <w:tcPr>
            <w:tcW w:w="2450" w:type="dxa"/>
            <w:vAlign w:val="center"/>
          </w:tcPr>
          <w:p>
            <w:pPr>
              <w:spacing w:line="240" w:lineRule="exact"/>
              <w:ind w:firstLine="360" w:firstLineChars="200"/>
              <w:rPr>
                <w:color w:val="000000"/>
                <w:sz w:val="18"/>
                <w:szCs w:val="18"/>
              </w:rPr>
            </w:pPr>
            <w:r>
              <w:rPr>
                <w:rFonts w:cs="Times New Roman"/>
                <w:sz w:val="18"/>
                <w:szCs w:val="18"/>
              </w:rPr>
              <w:t>【法规】《中华人民共和国野生植物保护条例》(1996年9月30日国务院令第204号公布)第二十六条伪造、倒卖、转让采集证、允许进出口证明书或者有关批准文件、标签的，由野生植物行政主管部门或者工商行政管理部门按照职责分工收缴，没收违法所得，可以并处5万元以下的罚款。</w:t>
            </w:r>
            <w:r>
              <w:rPr>
                <w:rFonts w:cs="Times New Roman"/>
                <w:sz w:val="18"/>
                <w:szCs w:val="18"/>
              </w:rPr>
              <w:br w:type="textWrapping"/>
            </w:r>
            <w:r>
              <w:rPr>
                <w:rFonts w:cs="Times New Roman"/>
                <w:sz w:val="18"/>
                <w:szCs w:val="18"/>
              </w:rPr>
              <w:t>【法规】《中华人民共和国濒危野生动植物进出口管理条例》(</w:t>
            </w:r>
            <w:r>
              <w:rPr>
                <w:rFonts w:hint="eastAsia" w:cs="Times New Roman"/>
                <w:sz w:val="18"/>
                <w:szCs w:val="18"/>
              </w:rPr>
              <w:t>2006年4月29日</w:t>
            </w:r>
            <w:r>
              <w:rPr>
                <w:rFonts w:cs="Times New Roman"/>
                <w:sz w:val="18"/>
                <w:szCs w:val="18"/>
              </w:rPr>
              <w:t>国务院令</w:t>
            </w:r>
            <w:r>
              <w:rPr>
                <w:rFonts w:hint="eastAsia" w:cs="Times New Roman"/>
                <w:sz w:val="18"/>
                <w:szCs w:val="18"/>
              </w:rPr>
              <w:t>第</w:t>
            </w:r>
            <w:r>
              <w:rPr>
                <w:rFonts w:cs="Times New Roman"/>
                <w:sz w:val="18"/>
                <w:szCs w:val="18"/>
              </w:rPr>
              <w:t>465号</w:t>
            </w:r>
            <w:r>
              <w:rPr>
                <w:rFonts w:hint="eastAsia" w:cs="Times New Roman"/>
                <w:sz w:val="18"/>
                <w:szCs w:val="18"/>
              </w:rPr>
              <w:t>公布</w:t>
            </w:r>
            <w:r>
              <w:rPr>
                <w:rFonts w:cs="Times New Roman"/>
                <w:sz w:val="18"/>
                <w:szCs w:val="18"/>
              </w:rPr>
              <w:t>)第二十七条伪造、倒卖或者转让进出口批准文件或者允许进出口证明书的，由野生动植物主管部门或者工商行政管理部门按照职责分工依法予以处罚；情节严重，构成犯罪的，依法追究刑事责任</w:t>
            </w:r>
            <w:r>
              <w:rPr>
                <w:rFonts w:cs="Times New Roman"/>
                <w:sz w:val="18"/>
                <w:szCs w:val="18"/>
              </w:rPr>
              <w:br w:type="textWrapping"/>
            </w:r>
          </w:p>
        </w:tc>
        <w:tc>
          <w:tcPr>
            <w:tcW w:w="2320"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52"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8"/>
        <w:gridCol w:w="807"/>
        <w:gridCol w:w="767"/>
        <w:gridCol w:w="2526"/>
        <w:gridCol w:w="2320"/>
        <w:gridCol w:w="7453"/>
        <w:gridCol w:w="1556"/>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733" w:type="dxa"/>
            <w:vAlign w:val="center"/>
          </w:tcPr>
          <w:p>
            <w:pPr>
              <w:spacing w:line="280" w:lineRule="exact"/>
              <w:jc w:val="center"/>
              <w:rPr>
                <w:rFonts w:cs="Times New Roman"/>
                <w:sz w:val="18"/>
                <w:szCs w:val="18"/>
              </w:rPr>
            </w:pPr>
            <w:r>
              <w:rPr>
                <w:rFonts w:cs="Times New Roman"/>
                <w:sz w:val="18"/>
                <w:szCs w:val="18"/>
              </w:rPr>
              <w:t>序号</w:t>
            </w:r>
          </w:p>
        </w:tc>
        <w:tc>
          <w:tcPr>
            <w:tcW w:w="738" w:type="dxa"/>
            <w:vAlign w:val="center"/>
          </w:tcPr>
          <w:p>
            <w:pPr>
              <w:spacing w:line="280" w:lineRule="exact"/>
              <w:jc w:val="center"/>
              <w:rPr>
                <w:rFonts w:cs="Times New Roman"/>
                <w:sz w:val="18"/>
                <w:szCs w:val="18"/>
              </w:rPr>
            </w:pPr>
            <w:r>
              <w:rPr>
                <w:rFonts w:cs="Times New Roman"/>
                <w:sz w:val="18"/>
                <w:szCs w:val="18"/>
              </w:rPr>
              <w:t>权力分类</w:t>
            </w:r>
          </w:p>
        </w:tc>
        <w:tc>
          <w:tcPr>
            <w:tcW w:w="807" w:type="dxa"/>
            <w:vAlign w:val="center"/>
          </w:tcPr>
          <w:p>
            <w:pPr>
              <w:spacing w:line="280" w:lineRule="exact"/>
              <w:jc w:val="center"/>
              <w:rPr>
                <w:rFonts w:cs="Times New Roman"/>
                <w:sz w:val="18"/>
                <w:szCs w:val="18"/>
              </w:rPr>
            </w:pPr>
            <w:r>
              <w:rPr>
                <w:rFonts w:cs="Times New Roman"/>
                <w:sz w:val="18"/>
                <w:szCs w:val="18"/>
              </w:rPr>
              <w:t>项目名称</w:t>
            </w:r>
          </w:p>
        </w:tc>
        <w:tc>
          <w:tcPr>
            <w:tcW w:w="767" w:type="dxa"/>
            <w:vAlign w:val="center"/>
          </w:tcPr>
          <w:p>
            <w:pPr>
              <w:spacing w:line="280" w:lineRule="exact"/>
              <w:jc w:val="center"/>
              <w:rPr>
                <w:rFonts w:cs="Times New Roman"/>
                <w:sz w:val="18"/>
                <w:szCs w:val="18"/>
              </w:rPr>
            </w:pPr>
            <w:r>
              <w:rPr>
                <w:rFonts w:cs="Times New Roman"/>
                <w:sz w:val="18"/>
                <w:szCs w:val="18"/>
              </w:rPr>
              <w:t>子项</w:t>
            </w:r>
          </w:p>
        </w:tc>
        <w:tc>
          <w:tcPr>
            <w:tcW w:w="2526" w:type="dxa"/>
            <w:vAlign w:val="center"/>
          </w:tcPr>
          <w:p>
            <w:pPr>
              <w:spacing w:line="280" w:lineRule="exact"/>
              <w:jc w:val="center"/>
              <w:rPr>
                <w:rFonts w:cs="Times New Roman"/>
                <w:sz w:val="18"/>
                <w:szCs w:val="18"/>
              </w:rPr>
            </w:pPr>
            <w:r>
              <w:rPr>
                <w:rFonts w:cs="Times New Roman"/>
                <w:sz w:val="18"/>
                <w:szCs w:val="18"/>
              </w:rPr>
              <w:t>实施依据</w:t>
            </w:r>
          </w:p>
        </w:tc>
        <w:tc>
          <w:tcPr>
            <w:tcW w:w="2320" w:type="dxa"/>
            <w:vAlign w:val="center"/>
          </w:tcPr>
          <w:p>
            <w:pPr>
              <w:spacing w:line="280" w:lineRule="exact"/>
              <w:jc w:val="center"/>
              <w:rPr>
                <w:rFonts w:cs="Times New Roman"/>
                <w:sz w:val="18"/>
                <w:szCs w:val="18"/>
              </w:rPr>
            </w:pPr>
            <w:r>
              <w:rPr>
                <w:rFonts w:cs="Times New Roman"/>
                <w:sz w:val="18"/>
                <w:szCs w:val="18"/>
              </w:rPr>
              <w:t>责任事项</w:t>
            </w:r>
          </w:p>
        </w:tc>
        <w:tc>
          <w:tcPr>
            <w:tcW w:w="7453" w:type="dxa"/>
            <w:vAlign w:val="center"/>
          </w:tcPr>
          <w:p>
            <w:pPr>
              <w:spacing w:line="280" w:lineRule="exact"/>
              <w:jc w:val="center"/>
              <w:rPr>
                <w:rFonts w:cs="Times New Roman"/>
                <w:sz w:val="18"/>
                <w:szCs w:val="18"/>
              </w:rPr>
            </w:pPr>
            <w:r>
              <w:rPr>
                <w:rFonts w:cs="Times New Roman"/>
                <w:sz w:val="18"/>
                <w:szCs w:val="18"/>
              </w:rPr>
              <w:t>责任事项依据</w:t>
            </w:r>
          </w:p>
        </w:tc>
        <w:tc>
          <w:tcPr>
            <w:tcW w:w="1556"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2" w:hRule="atLeast"/>
          <w:jc w:val="center"/>
        </w:trPr>
        <w:tc>
          <w:tcPr>
            <w:tcW w:w="733" w:type="dxa"/>
            <w:vAlign w:val="center"/>
          </w:tcPr>
          <w:p>
            <w:pPr>
              <w:spacing w:line="240" w:lineRule="exact"/>
              <w:jc w:val="center"/>
              <w:rPr>
                <w:rFonts w:cs="Times New Roman"/>
                <w:sz w:val="18"/>
                <w:szCs w:val="18"/>
              </w:rPr>
            </w:pPr>
            <w:r>
              <w:rPr>
                <w:rFonts w:hint="eastAsia" w:cs="Times New Roman"/>
                <w:sz w:val="18"/>
                <w:szCs w:val="18"/>
              </w:rPr>
              <w:t>36</w:t>
            </w:r>
          </w:p>
        </w:tc>
        <w:tc>
          <w:tcPr>
            <w:tcW w:w="738"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07" w:type="dxa"/>
            <w:vAlign w:val="center"/>
          </w:tcPr>
          <w:p>
            <w:pPr>
              <w:spacing w:line="240" w:lineRule="exact"/>
              <w:rPr>
                <w:rFonts w:cs="Times New Roman"/>
                <w:sz w:val="18"/>
                <w:szCs w:val="18"/>
              </w:rPr>
            </w:pPr>
            <w:r>
              <w:rPr>
                <w:rFonts w:cs="Times New Roman"/>
                <w:sz w:val="18"/>
                <w:szCs w:val="18"/>
              </w:rPr>
              <w:t>对外国人在中国境内采集、收购国家重点保护野生植物，或者未经批准对国家重点保护野生植物进行野外考察的处罚</w:t>
            </w:r>
          </w:p>
        </w:tc>
        <w:tc>
          <w:tcPr>
            <w:tcW w:w="767" w:type="dxa"/>
            <w:vAlign w:val="center"/>
          </w:tcPr>
          <w:p>
            <w:pPr>
              <w:spacing w:line="240" w:lineRule="exact"/>
              <w:rPr>
                <w:rFonts w:cs="Times New Roman"/>
                <w:sz w:val="18"/>
                <w:szCs w:val="18"/>
              </w:rPr>
            </w:pPr>
            <w:r>
              <w:rPr>
                <w:rFonts w:cs="Times New Roman"/>
                <w:sz w:val="18"/>
                <w:szCs w:val="18"/>
              </w:rPr>
              <w:t>　</w:t>
            </w:r>
          </w:p>
        </w:tc>
        <w:tc>
          <w:tcPr>
            <w:tcW w:w="2526" w:type="dxa"/>
            <w:vAlign w:val="center"/>
          </w:tcPr>
          <w:p>
            <w:pPr>
              <w:spacing w:line="240" w:lineRule="exact"/>
              <w:ind w:firstLine="360" w:firstLineChars="200"/>
              <w:rPr>
                <w:color w:val="000000"/>
                <w:sz w:val="18"/>
                <w:szCs w:val="18"/>
              </w:rPr>
            </w:pPr>
            <w:r>
              <w:rPr>
                <w:rFonts w:cs="Times New Roman"/>
                <w:sz w:val="18"/>
                <w:szCs w:val="18"/>
              </w:rPr>
              <w:t>【法规】《中华人民共和国野生植物保护条例》(1996年9月30日国务院令第204号公布)第二十七条外国人在中国境内采集、收购国家重点保护野生植物，或者未经批准对国家重点保护野生植物进行野外考察的，由野生植物行政主管部门没收所采集、收购的野生植物和考察资料，可以并处</w:t>
            </w:r>
            <w:r>
              <w:rPr>
                <w:rFonts w:hint="eastAsia" w:cs="Times New Roman"/>
                <w:sz w:val="18"/>
                <w:szCs w:val="18"/>
              </w:rPr>
              <w:t>5</w:t>
            </w:r>
            <w:r>
              <w:rPr>
                <w:rFonts w:cs="Times New Roman"/>
                <w:sz w:val="18"/>
                <w:szCs w:val="18"/>
              </w:rPr>
              <w:t>万元以下的罚款。</w:t>
            </w:r>
            <w:r>
              <w:rPr>
                <w:rFonts w:cs="Times New Roman"/>
                <w:sz w:val="18"/>
                <w:szCs w:val="18"/>
              </w:rPr>
              <w:br w:type="textWrapping"/>
            </w:r>
            <w:r>
              <w:rPr>
                <w:rFonts w:cs="Times New Roman"/>
                <w:sz w:val="18"/>
                <w:szCs w:val="18"/>
              </w:rPr>
              <w:t>【</w:t>
            </w:r>
            <w:r>
              <w:rPr>
                <w:rFonts w:hint="eastAsia" w:cs="Times New Roman"/>
                <w:sz w:val="18"/>
                <w:szCs w:val="18"/>
              </w:rPr>
              <w:t>规章</w:t>
            </w:r>
            <w:r>
              <w:rPr>
                <w:rFonts w:cs="Times New Roman"/>
                <w:sz w:val="18"/>
                <w:szCs w:val="18"/>
              </w:rPr>
              <w:t>】《广西壮族自治区野生植物保护办法》（</w:t>
            </w:r>
            <w:r>
              <w:rPr>
                <w:rFonts w:hint="eastAsia" w:cs="Times New Roman"/>
                <w:sz w:val="18"/>
                <w:szCs w:val="18"/>
              </w:rPr>
              <w:t>2008年12月18日</w:t>
            </w:r>
            <w:r>
              <w:rPr>
                <w:rFonts w:cs="Times New Roman"/>
                <w:sz w:val="18"/>
                <w:szCs w:val="18"/>
              </w:rPr>
              <w:t>广西壮族自治区人民政府令第45号</w:t>
            </w:r>
            <w:r>
              <w:rPr>
                <w:rFonts w:hint="eastAsia" w:cs="Times New Roman"/>
                <w:sz w:val="18"/>
                <w:szCs w:val="18"/>
              </w:rPr>
              <w:t>公布，2016年9月26日广西壮族自治区人民政府关于废止和修改部分政府规章的决定</w:t>
            </w:r>
            <w:r>
              <w:rPr>
                <w:rFonts w:cs="Times New Roman"/>
                <w:sz w:val="18"/>
                <w:szCs w:val="18"/>
              </w:rPr>
              <w:t>）第十八条外国人采集、收购重点保护野生植物或者擅自对重点保护野生植物进行野外考察的，由县级以上具有相应管理职责的野生植物行政主管部门依照《中华人民共和国野生植物保护条例》的规定，没收所采集、收购的野生植物和考察资料，可以并处5万元以下的罚款。</w:t>
            </w:r>
          </w:p>
        </w:tc>
        <w:tc>
          <w:tcPr>
            <w:tcW w:w="2320"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53"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6"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tbl>
      <w:tblPr>
        <w:tblStyle w:val="7"/>
        <w:tblW w:w="22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719"/>
        <w:gridCol w:w="825"/>
        <w:gridCol w:w="766"/>
        <w:gridCol w:w="2524"/>
        <w:gridCol w:w="2318"/>
        <w:gridCol w:w="7446"/>
        <w:gridCol w:w="1555"/>
        <w:gridCol w:w="4666"/>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732" w:type="dxa"/>
            <w:vAlign w:val="center"/>
          </w:tcPr>
          <w:p>
            <w:pPr>
              <w:spacing w:line="280" w:lineRule="exact"/>
              <w:jc w:val="center"/>
              <w:rPr>
                <w:rFonts w:cs="Times New Roman"/>
                <w:sz w:val="18"/>
                <w:szCs w:val="18"/>
              </w:rPr>
            </w:pPr>
            <w:r>
              <w:rPr>
                <w:rFonts w:cs="Times New Roman"/>
                <w:sz w:val="18"/>
                <w:szCs w:val="18"/>
              </w:rPr>
              <w:t>序号</w:t>
            </w:r>
          </w:p>
        </w:tc>
        <w:tc>
          <w:tcPr>
            <w:tcW w:w="719" w:type="dxa"/>
            <w:vAlign w:val="center"/>
          </w:tcPr>
          <w:p>
            <w:pPr>
              <w:spacing w:line="280" w:lineRule="exact"/>
              <w:jc w:val="center"/>
              <w:rPr>
                <w:rFonts w:cs="Times New Roman"/>
                <w:sz w:val="18"/>
                <w:szCs w:val="18"/>
              </w:rPr>
            </w:pPr>
            <w:r>
              <w:rPr>
                <w:rFonts w:cs="Times New Roman"/>
                <w:sz w:val="18"/>
                <w:szCs w:val="18"/>
              </w:rPr>
              <w:t>权力分类</w:t>
            </w:r>
          </w:p>
        </w:tc>
        <w:tc>
          <w:tcPr>
            <w:tcW w:w="825" w:type="dxa"/>
            <w:vAlign w:val="center"/>
          </w:tcPr>
          <w:p>
            <w:pPr>
              <w:spacing w:line="280" w:lineRule="exact"/>
              <w:jc w:val="center"/>
              <w:rPr>
                <w:rFonts w:cs="Times New Roman"/>
                <w:sz w:val="18"/>
                <w:szCs w:val="18"/>
              </w:rPr>
            </w:pPr>
            <w:r>
              <w:rPr>
                <w:rFonts w:cs="Times New Roman"/>
                <w:sz w:val="18"/>
                <w:szCs w:val="18"/>
              </w:rPr>
              <w:t>项目名称</w:t>
            </w:r>
          </w:p>
        </w:tc>
        <w:tc>
          <w:tcPr>
            <w:tcW w:w="766" w:type="dxa"/>
            <w:vAlign w:val="center"/>
          </w:tcPr>
          <w:p>
            <w:pPr>
              <w:spacing w:line="280" w:lineRule="exact"/>
              <w:jc w:val="center"/>
              <w:rPr>
                <w:rFonts w:cs="Times New Roman"/>
                <w:sz w:val="18"/>
                <w:szCs w:val="18"/>
              </w:rPr>
            </w:pPr>
            <w:r>
              <w:rPr>
                <w:rFonts w:cs="Times New Roman"/>
                <w:sz w:val="18"/>
                <w:szCs w:val="18"/>
              </w:rPr>
              <w:t>子项</w:t>
            </w:r>
          </w:p>
        </w:tc>
        <w:tc>
          <w:tcPr>
            <w:tcW w:w="2524" w:type="dxa"/>
            <w:vAlign w:val="center"/>
          </w:tcPr>
          <w:p>
            <w:pPr>
              <w:spacing w:line="280" w:lineRule="exact"/>
              <w:jc w:val="center"/>
              <w:rPr>
                <w:rFonts w:cs="Times New Roman"/>
                <w:sz w:val="18"/>
                <w:szCs w:val="18"/>
              </w:rPr>
            </w:pPr>
            <w:r>
              <w:rPr>
                <w:rFonts w:cs="Times New Roman"/>
                <w:sz w:val="18"/>
                <w:szCs w:val="18"/>
              </w:rPr>
              <w:t>实施依据</w:t>
            </w:r>
          </w:p>
        </w:tc>
        <w:tc>
          <w:tcPr>
            <w:tcW w:w="2318" w:type="dxa"/>
            <w:vAlign w:val="center"/>
          </w:tcPr>
          <w:p>
            <w:pPr>
              <w:spacing w:line="280" w:lineRule="exact"/>
              <w:jc w:val="center"/>
              <w:rPr>
                <w:rFonts w:cs="Times New Roman"/>
                <w:sz w:val="18"/>
                <w:szCs w:val="18"/>
              </w:rPr>
            </w:pPr>
            <w:r>
              <w:rPr>
                <w:rFonts w:cs="Times New Roman"/>
                <w:sz w:val="18"/>
                <w:szCs w:val="18"/>
              </w:rPr>
              <w:t>责任事项</w:t>
            </w:r>
          </w:p>
        </w:tc>
        <w:tc>
          <w:tcPr>
            <w:tcW w:w="7446" w:type="dxa"/>
            <w:vAlign w:val="center"/>
          </w:tcPr>
          <w:p>
            <w:pPr>
              <w:spacing w:line="280" w:lineRule="exact"/>
              <w:jc w:val="center"/>
              <w:rPr>
                <w:rFonts w:cs="Times New Roman"/>
                <w:sz w:val="18"/>
                <w:szCs w:val="18"/>
              </w:rPr>
            </w:pPr>
            <w:r>
              <w:rPr>
                <w:rFonts w:cs="Times New Roman"/>
                <w:sz w:val="18"/>
                <w:szCs w:val="18"/>
              </w:rPr>
              <w:t>责任事项依据</w:t>
            </w:r>
          </w:p>
        </w:tc>
        <w:tc>
          <w:tcPr>
            <w:tcW w:w="1555" w:type="dxa"/>
            <w:vAlign w:val="center"/>
          </w:tcPr>
          <w:p>
            <w:pPr>
              <w:spacing w:line="280" w:lineRule="exact"/>
              <w:jc w:val="center"/>
              <w:rPr>
                <w:rFonts w:cs="Times New Roman"/>
                <w:sz w:val="18"/>
                <w:szCs w:val="18"/>
              </w:rPr>
            </w:pPr>
            <w:r>
              <w:rPr>
                <w:rFonts w:cs="Times New Roman"/>
                <w:sz w:val="18"/>
                <w:szCs w:val="18"/>
              </w:rPr>
              <w:t>追责情形</w:t>
            </w:r>
          </w:p>
        </w:tc>
        <w:tc>
          <w:tcPr>
            <w:tcW w:w="4666" w:type="dxa"/>
            <w:vAlign w:val="center"/>
          </w:tcPr>
          <w:p>
            <w:pPr>
              <w:spacing w:line="280" w:lineRule="exact"/>
              <w:jc w:val="center"/>
              <w:rPr>
                <w:rFonts w:cs="Times New Roman"/>
                <w:sz w:val="18"/>
                <w:szCs w:val="18"/>
              </w:rPr>
            </w:pPr>
            <w:r>
              <w:rPr>
                <w:rFonts w:cs="Times New Roman"/>
                <w:sz w:val="18"/>
                <w:szCs w:val="18"/>
              </w:rPr>
              <w:t>追责依据</w:t>
            </w:r>
          </w:p>
        </w:tc>
        <w:tc>
          <w:tcPr>
            <w:tcW w:w="609"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8" w:hRule="atLeast"/>
          <w:jc w:val="center"/>
        </w:trPr>
        <w:tc>
          <w:tcPr>
            <w:tcW w:w="732" w:type="dxa"/>
            <w:vAlign w:val="center"/>
          </w:tcPr>
          <w:p>
            <w:pPr>
              <w:spacing w:line="240" w:lineRule="exact"/>
              <w:jc w:val="center"/>
              <w:rPr>
                <w:rFonts w:cs="Times New Roman"/>
                <w:sz w:val="18"/>
                <w:szCs w:val="18"/>
              </w:rPr>
            </w:pPr>
            <w:r>
              <w:rPr>
                <w:rFonts w:hint="eastAsia" w:cs="Times New Roman"/>
                <w:sz w:val="18"/>
                <w:szCs w:val="18"/>
              </w:rPr>
              <w:t>37</w:t>
            </w:r>
          </w:p>
        </w:tc>
        <w:tc>
          <w:tcPr>
            <w:tcW w:w="719"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25" w:type="dxa"/>
            <w:vAlign w:val="center"/>
          </w:tcPr>
          <w:p>
            <w:pPr>
              <w:spacing w:line="240" w:lineRule="exact"/>
              <w:rPr>
                <w:rFonts w:cs="Times New Roman"/>
                <w:sz w:val="18"/>
                <w:szCs w:val="18"/>
              </w:rPr>
            </w:pPr>
            <w:r>
              <w:rPr>
                <w:rFonts w:cs="Times New Roman"/>
                <w:sz w:val="18"/>
                <w:szCs w:val="18"/>
              </w:rPr>
              <w:t>对违法采集或者破坏、毁损自治区重点保护野生植物的处罚</w:t>
            </w:r>
          </w:p>
        </w:tc>
        <w:tc>
          <w:tcPr>
            <w:tcW w:w="766" w:type="dxa"/>
            <w:vAlign w:val="center"/>
          </w:tcPr>
          <w:p>
            <w:pPr>
              <w:spacing w:line="240" w:lineRule="exact"/>
              <w:rPr>
                <w:rFonts w:cs="Times New Roman"/>
                <w:sz w:val="18"/>
                <w:szCs w:val="18"/>
              </w:rPr>
            </w:pPr>
            <w:r>
              <w:rPr>
                <w:rFonts w:cs="Times New Roman"/>
                <w:sz w:val="18"/>
                <w:szCs w:val="18"/>
              </w:rPr>
              <w:t>　</w:t>
            </w:r>
          </w:p>
        </w:tc>
        <w:tc>
          <w:tcPr>
            <w:tcW w:w="2524" w:type="dxa"/>
            <w:vAlign w:val="center"/>
          </w:tcPr>
          <w:p>
            <w:pPr>
              <w:spacing w:line="240" w:lineRule="exact"/>
              <w:ind w:firstLine="360" w:firstLineChars="200"/>
              <w:rPr>
                <w:color w:val="000000"/>
                <w:sz w:val="18"/>
                <w:szCs w:val="18"/>
              </w:rPr>
            </w:pPr>
            <w:r>
              <w:rPr>
                <w:rFonts w:cs="Times New Roman"/>
                <w:sz w:val="18"/>
                <w:szCs w:val="18"/>
              </w:rPr>
              <w:br w:type="textWrapping"/>
            </w:r>
            <w:r>
              <w:rPr>
                <w:rFonts w:cs="Times New Roman"/>
                <w:sz w:val="18"/>
                <w:szCs w:val="18"/>
              </w:rPr>
              <w:t>【</w:t>
            </w:r>
            <w:r>
              <w:rPr>
                <w:rFonts w:hint="eastAsia" w:cs="Times New Roman"/>
                <w:sz w:val="18"/>
                <w:szCs w:val="18"/>
              </w:rPr>
              <w:t>规章</w:t>
            </w:r>
            <w:r>
              <w:rPr>
                <w:rFonts w:cs="Times New Roman"/>
                <w:sz w:val="18"/>
                <w:szCs w:val="18"/>
              </w:rPr>
              <w:t>】《广西壮族自治区野生植物保护办法》（</w:t>
            </w:r>
            <w:r>
              <w:rPr>
                <w:rFonts w:hint="eastAsia" w:cs="Times New Roman"/>
                <w:sz w:val="18"/>
                <w:szCs w:val="18"/>
              </w:rPr>
              <w:t>2008年12月18日</w:t>
            </w:r>
            <w:r>
              <w:rPr>
                <w:rFonts w:cs="Times New Roman"/>
                <w:sz w:val="18"/>
                <w:szCs w:val="18"/>
              </w:rPr>
              <w:t>广西壮族自治区人民政府令第45号</w:t>
            </w:r>
            <w:r>
              <w:rPr>
                <w:rFonts w:hint="eastAsia" w:cs="Times New Roman"/>
                <w:sz w:val="18"/>
                <w:szCs w:val="18"/>
              </w:rPr>
              <w:t>公布，2016年9月26日广西壮族自治区人民政府关于废止和修改部分政府规章的决定</w:t>
            </w:r>
            <w:r>
              <w:rPr>
                <w:rFonts w:cs="Times New Roman"/>
                <w:sz w:val="18"/>
                <w:szCs w:val="18"/>
              </w:rPr>
              <w:t>）第十七条违反本办法规定采集或者破坏、毁损自治区重点保护野生植物的，由县级以上具有相应管理职责的野生植物行政主管部门处2000元以下罚款；情节严重的，处2000元以上5万元以下罚款。</w:t>
            </w:r>
          </w:p>
        </w:tc>
        <w:tc>
          <w:tcPr>
            <w:tcW w:w="2318"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46"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5"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66"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09"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02"/>
        <w:gridCol w:w="826"/>
        <w:gridCol w:w="748"/>
        <w:gridCol w:w="2548"/>
        <w:gridCol w:w="2322"/>
        <w:gridCol w:w="7460"/>
        <w:gridCol w:w="1557"/>
        <w:gridCol w:w="4675"/>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752" w:type="dxa"/>
            <w:vAlign w:val="center"/>
          </w:tcPr>
          <w:p>
            <w:pPr>
              <w:spacing w:line="280" w:lineRule="exact"/>
              <w:jc w:val="center"/>
              <w:rPr>
                <w:rFonts w:cs="Times New Roman"/>
                <w:sz w:val="18"/>
                <w:szCs w:val="18"/>
              </w:rPr>
            </w:pPr>
            <w:r>
              <w:rPr>
                <w:rFonts w:cs="Times New Roman"/>
                <w:sz w:val="18"/>
                <w:szCs w:val="18"/>
              </w:rPr>
              <w:t>序号</w:t>
            </w:r>
          </w:p>
        </w:tc>
        <w:tc>
          <w:tcPr>
            <w:tcW w:w="702" w:type="dxa"/>
            <w:vAlign w:val="center"/>
          </w:tcPr>
          <w:p>
            <w:pPr>
              <w:spacing w:line="280" w:lineRule="exact"/>
              <w:jc w:val="center"/>
              <w:rPr>
                <w:rFonts w:cs="Times New Roman"/>
                <w:sz w:val="18"/>
                <w:szCs w:val="18"/>
              </w:rPr>
            </w:pPr>
            <w:r>
              <w:rPr>
                <w:rFonts w:cs="Times New Roman"/>
                <w:sz w:val="18"/>
                <w:szCs w:val="18"/>
              </w:rPr>
              <w:t>权力分类</w:t>
            </w:r>
          </w:p>
        </w:tc>
        <w:tc>
          <w:tcPr>
            <w:tcW w:w="826" w:type="dxa"/>
            <w:vAlign w:val="center"/>
          </w:tcPr>
          <w:p>
            <w:pPr>
              <w:spacing w:line="280" w:lineRule="exact"/>
              <w:jc w:val="center"/>
              <w:rPr>
                <w:rFonts w:cs="Times New Roman"/>
                <w:sz w:val="18"/>
                <w:szCs w:val="18"/>
              </w:rPr>
            </w:pPr>
            <w:r>
              <w:rPr>
                <w:rFonts w:cs="Times New Roman"/>
                <w:sz w:val="18"/>
                <w:szCs w:val="18"/>
              </w:rPr>
              <w:t>项目名称</w:t>
            </w:r>
          </w:p>
        </w:tc>
        <w:tc>
          <w:tcPr>
            <w:tcW w:w="748" w:type="dxa"/>
            <w:vAlign w:val="center"/>
          </w:tcPr>
          <w:p>
            <w:pPr>
              <w:spacing w:line="280" w:lineRule="exact"/>
              <w:jc w:val="center"/>
              <w:rPr>
                <w:rFonts w:cs="Times New Roman"/>
                <w:sz w:val="18"/>
                <w:szCs w:val="18"/>
              </w:rPr>
            </w:pPr>
            <w:r>
              <w:rPr>
                <w:rFonts w:cs="Times New Roman"/>
                <w:sz w:val="18"/>
                <w:szCs w:val="18"/>
              </w:rPr>
              <w:t>子项</w:t>
            </w:r>
          </w:p>
        </w:tc>
        <w:tc>
          <w:tcPr>
            <w:tcW w:w="2548" w:type="dxa"/>
            <w:vAlign w:val="center"/>
          </w:tcPr>
          <w:p>
            <w:pPr>
              <w:spacing w:line="280" w:lineRule="exact"/>
              <w:jc w:val="center"/>
              <w:rPr>
                <w:rFonts w:cs="Times New Roman"/>
                <w:sz w:val="18"/>
                <w:szCs w:val="18"/>
              </w:rPr>
            </w:pPr>
            <w:r>
              <w:rPr>
                <w:rFonts w:cs="Times New Roman"/>
                <w:sz w:val="18"/>
                <w:szCs w:val="18"/>
              </w:rPr>
              <w:t>实施依据</w:t>
            </w:r>
          </w:p>
        </w:tc>
        <w:tc>
          <w:tcPr>
            <w:tcW w:w="2322" w:type="dxa"/>
            <w:vAlign w:val="center"/>
          </w:tcPr>
          <w:p>
            <w:pPr>
              <w:spacing w:line="280" w:lineRule="exact"/>
              <w:jc w:val="center"/>
              <w:rPr>
                <w:rFonts w:cs="Times New Roman"/>
                <w:sz w:val="18"/>
                <w:szCs w:val="18"/>
              </w:rPr>
            </w:pPr>
            <w:r>
              <w:rPr>
                <w:rFonts w:cs="Times New Roman"/>
                <w:sz w:val="18"/>
                <w:szCs w:val="18"/>
              </w:rPr>
              <w:t>责任事项</w:t>
            </w:r>
          </w:p>
        </w:tc>
        <w:tc>
          <w:tcPr>
            <w:tcW w:w="7460"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5"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5" w:hRule="atLeast"/>
          <w:jc w:val="center"/>
        </w:trPr>
        <w:tc>
          <w:tcPr>
            <w:tcW w:w="752" w:type="dxa"/>
            <w:vAlign w:val="center"/>
          </w:tcPr>
          <w:p>
            <w:pPr>
              <w:spacing w:line="240" w:lineRule="exact"/>
              <w:jc w:val="center"/>
              <w:rPr>
                <w:rFonts w:cs="Times New Roman"/>
                <w:sz w:val="18"/>
                <w:szCs w:val="18"/>
              </w:rPr>
            </w:pPr>
            <w:r>
              <w:rPr>
                <w:rFonts w:hint="eastAsia" w:cs="Times New Roman"/>
                <w:sz w:val="18"/>
                <w:szCs w:val="18"/>
              </w:rPr>
              <w:t>38</w:t>
            </w:r>
          </w:p>
        </w:tc>
        <w:tc>
          <w:tcPr>
            <w:tcW w:w="702"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26" w:type="dxa"/>
            <w:vAlign w:val="center"/>
          </w:tcPr>
          <w:p>
            <w:pPr>
              <w:spacing w:line="240" w:lineRule="exact"/>
              <w:rPr>
                <w:rFonts w:cs="Times New Roman"/>
                <w:sz w:val="18"/>
                <w:szCs w:val="18"/>
              </w:rPr>
            </w:pPr>
            <w:r>
              <w:rPr>
                <w:rFonts w:cs="Times New Roman"/>
                <w:sz w:val="18"/>
                <w:szCs w:val="18"/>
              </w:rPr>
              <w:t>对违法围垦、填埋、占用湿地或改变湿地用途和其他活动致使湿地受到破坏的行政处罚</w:t>
            </w:r>
          </w:p>
        </w:tc>
        <w:tc>
          <w:tcPr>
            <w:tcW w:w="748" w:type="dxa"/>
            <w:vAlign w:val="center"/>
          </w:tcPr>
          <w:p>
            <w:pPr>
              <w:spacing w:line="240" w:lineRule="exact"/>
              <w:rPr>
                <w:rFonts w:cs="Times New Roman"/>
                <w:sz w:val="18"/>
                <w:szCs w:val="18"/>
              </w:rPr>
            </w:pPr>
            <w:r>
              <w:rPr>
                <w:rFonts w:cs="Times New Roman"/>
                <w:sz w:val="18"/>
                <w:szCs w:val="18"/>
              </w:rPr>
              <w:t>　</w:t>
            </w:r>
          </w:p>
        </w:tc>
        <w:tc>
          <w:tcPr>
            <w:tcW w:w="2548" w:type="dxa"/>
            <w:vAlign w:val="center"/>
          </w:tcPr>
          <w:p>
            <w:pPr>
              <w:spacing w:line="240" w:lineRule="exact"/>
              <w:ind w:firstLine="360" w:firstLineChars="200"/>
              <w:rPr>
                <w:color w:val="000000"/>
                <w:sz w:val="18"/>
                <w:szCs w:val="18"/>
              </w:rPr>
            </w:pPr>
            <w:r>
              <w:rPr>
                <w:rFonts w:cs="Times New Roman"/>
                <w:sz w:val="18"/>
                <w:szCs w:val="18"/>
              </w:rPr>
              <w:br w:type="textWrapping"/>
            </w:r>
            <w:r>
              <w:rPr>
                <w:rFonts w:cs="Times New Roman"/>
                <w:sz w:val="18"/>
                <w:szCs w:val="18"/>
              </w:rPr>
              <w:t>【法规】《广西壮族自治区湿地保护条例》（2014年11月28日广西壮族自治区第十二届人民代表大会常务委员会第十三次会议通过）第三十八条违反本条例第三十六条规定，有下列行为之一的，由县级以上人民政府湿地主管部门按照管理权限，责令停止违法行为、限期改正、恢复原状或者采取其他补救措施，并按照下列规定处以罚款；造成损失的，依法赔偿损失；有违法所得的，没收违法所得：（一）擅自围垦、填埋、占用湿地或者改变湿地用途的，处每平方米十元以上三十元以下罚款；（二）擅自挖塘、采砂、采石、取土、烧荒、采集泥炭的，处三百元以上五千元以下罚款；造成严重后果的，处五千元以上五万元以下罚款；（三）擅自排放湿地水资源或者堵截湿地水系与外围水系通道的，责令限期拆除相关设施，处三千元以上五千元以下罚款；造成严重后果的，处一万元以上五万元以下罚款；（四）捡拾或者损坏鸟卵、鸟巢，情节轻微的，给予警告；情节较重的，处一百元以上一千元以下罚款；情节严重的，处一千元以上五千元以下罚款；（五）破坏鱼类等水生生物洄游通道和野生动物的重要繁殖区以及栖息地的，处一千元以上五千元以下罚款；情节严重的，处五千元以上二万元以下罚款；（六）破坏湿地保护设施设备的，可以处一千元以上一万元以下罚款。县级以上人民政府湿地主管部门，可以在其法定权限内，依法委托具备《中华人民共和国行政处罚法》规定条件的湿地管理机构实施行政处罚。</w:t>
            </w:r>
          </w:p>
        </w:tc>
        <w:tc>
          <w:tcPr>
            <w:tcW w:w="2322"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60"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5"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721"/>
        <w:gridCol w:w="827"/>
        <w:gridCol w:w="749"/>
        <w:gridCol w:w="2551"/>
        <w:gridCol w:w="2324"/>
        <w:gridCol w:w="7465"/>
        <w:gridCol w:w="1560"/>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734" w:type="dxa"/>
            <w:vAlign w:val="center"/>
          </w:tcPr>
          <w:p>
            <w:pPr>
              <w:spacing w:line="280" w:lineRule="exact"/>
              <w:jc w:val="center"/>
              <w:rPr>
                <w:rFonts w:cs="Times New Roman"/>
                <w:sz w:val="18"/>
                <w:szCs w:val="18"/>
              </w:rPr>
            </w:pPr>
            <w:r>
              <w:rPr>
                <w:rFonts w:cs="Times New Roman"/>
                <w:sz w:val="18"/>
                <w:szCs w:val="18"/>
              </w:rPr>
              <w:t>序号</w:t>
            </w:r>
          </w:p>
        </w:tc>
        <w:tc>
          <w:tcPr>
            <w:tcW w:w="721" w:type="dxa"/>
            <w:vAlign w:val="center"/>
          </w:tcPr>
          <w:p>
            <w:pPr>
              <w:spacing w:line="280" w:lineRule="exact"/>
              <w:jc w:val="center"/>
              <w:rPr>
                <w:rFonts w:cs="Times New Roman"/>
                <w:sz w:val="18"/>
                <w:szCs w:val="18"/>
              </w:rPr>
            </w:pPr>
            <w:r>
              <w:rPr>
                <w:rFonts w:cs="Times New Roman"/>
                <w:sz w:val="18"/>
                <w:szCs w:val="18"/>
              </w:rPr>
              <w:t>权力分类</w:t>
            </w:r>
          </w:p>
        </w:tc>
        <w:tc>
          <w:tcPr>
            <w:tcW w:w="827" w:type="dxa"/>
            <w:vAlign w:val="center"/>
          </w:tcPr>
          <w:p>
            <w:pPr>
              <w:spacing w:line="280" w:lineRule="exact"/>
              <w:jc w:val="center"/>
              <w:rPr>
                <w:rFonts w:cs="Times New Roman"/>
                <w:sz w:val="18"/>
                <w:szCs w:val="18"/>
              </w:rPr>
            </w:pPr>
            <w:r>
              <w:rPr>
                <w:rFonts w:cs="Times New Roman"/>
                <w:sz w:val="18"/>
                <w:szCs w:val="18"/>
              </w:rPr>
              <w:t>项目名称</w:t>
            </w:r>
          </w:p>
        </w:tc>
        <w:tc>
          <w:tcPr>
            <w:tcW w:w="749" w:type="dxa"/>
            <w:vAlign w:val="center"/>
          </w:tcPr>
          <w:p>
            <w:pPr>
              <w:spacing w:line="280" w:lineRule="exact"/>
              <w:jc w:val="center"/>
              <w:rPr>
                <w:rFonts w:cs="Times New Roman"/>
                <w:sz w:val="18"/>
                <w:szCs w:val="18"/>
              </w:rPr>
            </w:pPr>
            <w:r>
              <w:rPr>
                <w:rFonts w:cs="Times New Roman"/>
                <w:sz w:val="18"/>
                <w:szCs w:val="18"/>
              </w:rPr>
              <w:t>子项</w:t>
            </w:r>
          </w:p>
        </w:tc>
        <w:tc>
          <w:tcPr>
            <w:tcW w:w="2551" w:type="dxa"/>
            <w:vAlign w:val="center"/>
          </w:tcPr>
          <w:p>
            <w:pPr>
              <w:spacing w:line="280" w:lineRule="exact"/>
              <w:jc w:val="center"/>
              <w:rPr>
                <w:rFonts w:cs="Times New Roman"/>
                <w:sz w:val="18"/>
                <w:szCs w:val="18"/>
              </w:rPr>
            </w:pPr>
            <w:r>
              <w:rPr>
                <w:rFonts w:cs="Times New Roman"/>
                <w:sz w:val="18"/>
                <w:szCs w:val="18"/>
              </w:rPr>
              <w:t>实施依据</w:t>
            </w:r>
          </w:p>
        </w:tc>
        <w:tc>
          <w:tcPr>
            <w:tcW w:w="2324" w:type="dxa"/>
            <w:vAlign w:val="center"/>
          </w:tcPr>
          <w:p>
            <w:pPr>
              <w:spacing w:line="280" w:lineRule="exact"/>
              <w:jc w:val="center"/>
              <w:rPr>
                <w:rFonts w:cs="Times New Roman"/>
                <w:sz w:val="18"/>
                <w:szCs w:val="18"/>
              </w:rPr>
            </w:pPr>
            <w:r>
              <w:rPr>
                <w:rFonts w:cs="Times New Roman"/>
                <w:sz w:val="18"/>
                <w:szCs w:val="18"/>
              </w:rPr>
              <w:t>责任事项</w:t>
            </w:r>
          </w:p>
        </w:tc>
        <w:tc>
          <w:tcPr>
            <w:tcW w:w="7465" w:type="dxa"/>
            <w:vAlign w:val="center"/>
          </w:tcPr>
          <w:p>
            <w:pPr>
              <w:spacing w:line="280" w:lineRule="exact"/>
              <w:jc w:val="center"/>
              <w:rPr>
                <w:rFonts w:cs="Times New Roman"/>
                <w:sz w:val="18"/>
                <w:szCs w:val="18"/>
              </w:rPr>
            </w:pPr>
            <w:r>
              <w:rPr>
                <w:rFonts w:cs="Times New Roman"/>
                <w:sz w:val="18"/>
                <w:szCs w:val="18"/>
              </w:rPr>
              <w:t>责任事项依据</w:t>
            </w:r>
          </w:p>
        </w:tc>
        <w:tc>
          <w:tcPr>
            <w:tcW w:w="1560"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4" w:hRule="atLeast"/>
          <w:jc w:val="center"/>
        </w:trPr>
        <w:tc>
          <w:tcPr>
            <w:tcW w:w="734" w:type="dxa"/>
            <w:vAlign w:val="center"/>
          </w:tcPr>
          <w:p>
            <w:pPr>
              <w:spacing w:line="240" w:lineRule="exact"/>
              <w:jc w:val="center"/>
              <w:rPr>
                <w:rFonts w:cs="Times New Roman"/>
                <w:sz w:val="18"/>
                <w:szCs w:val="18"/>
              </w:rPr>
            </w:pPr>
            <w:r>
              <w:rPr>
                <w:rFonts w:hint="eastAsia" w:cs="Times New Roman"/>
                <w:sz w:val="18"/>
                <w:szCs w:val="18"/>
              </w:rPr>
              <w:t>39</w:t>
            </w:r>
          </w:p>
        </w:tc>
        <w:tc>
          <w:tcPr>
            <w:tcW w:w="72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27" w:type="dxa"/>
            <w:vAlign w:val="center"/>
          </w:tcPr>
          <w:p>
            <w:pPr>
              <w:spacing w:line="240" w:lineRule="exact"/>
              <w:rPr>
                <w:rFonts w:cs="Times New Roman"/>
                <w:sz w:val="18"/>
                <w:szCs w:val="18"/>
              </w:rPr>
            </w:pPr>
            <w:r>
              <w:rPr>
                <w:rFonts w:cs="Times New Roman"/>
                <w:sz w:val="18"/>
                <w:szCs w:val="18"/>
              </w:rPr>
              <w:t>对</w:t>
            </w:r>
            <w:r>
              <w:rPr>
                <w:rFonts w:hint="eastAsia" w:cs="Times New Roman"/>
                <w:sz w:val="18"/>
                <w:szCs w:val="18"/>
              </w:rPr>
              <w:t>违法</w:t>
            </w:r>
            <w:r>
              <w:rPr>
                <w:rFonts w:cs="Times New Roman"/>
                <w:sz w:val="18"/>
                <w:szCs w:val="18"/>
              </w:rPr>
              <w:t>经营</w:t>
            </w:r>
            <w:r>
              <w:rPr>
                <w:rFonts w:hint="eastAsia" w:cs="Times New Roman"/>
                <w:sz w:val="18"/>
                <w:szCs w:val="18"/>
              </w:rPr>
              <w:t>（</w:t>
            </w:r>
            <w:r>
              <w:rPr>
                <w:rFonts w:cs="Times New Roman"/>
                <w:sz w:val="18"/>
                <w:szCs w:val="18"/>
              </w:rPr>
              <w:t>加工</w:t>
            </w:r>
            <w:r>
              <w:rPr>
                <w:rFonts w:hint="eastAsia" w:cs="Times New Roman"/>
                <w:sz w:val="18"/>
                <w:szCs w:val="18"/>
              </w:rPr>
              <w:t>）</w:t>
            </w:r>
            <w:r>
              <w:rPr>
                <w:rFonts w:cs="Times New Roman"/>
                <w:sz w:val="18"/>
                <w:szCs w:val="18"/>
              </w:rPr>
              <w:t>木材</w:t>
            </w:r>
            <w:r>
              <w:rPr>
                <w:rFonts w:hint="eastAsia" w:cs="Times New Roman"/>
                <w:sz w:val="18"/>
                <w:szCs w:val="18"/>
              </w:rPr>
              <w:t>等行为</w:t>
            </w:r>
            <w:r>
              <w:rPr>
                <w:rFonts w:cs="Times New Roman"/>
                <w:sz w:val="18"/>
                <w:szCs w:val="18"/>
              </w:rPr>
              <w:t>的处罚</w:t>
            </w:r>
          </w:p>
        </w:tc>
        <w:tc>
          <w:tcPr>
            <w:tcW w:w="749" w:type="dxa"/>
            <w:vAlign w:val="center"/>
          </w:tcPr>
          <w:p>
            <w:pPr>
              <w:spacing w:line="240" w:lineRule="exact"/>
              <w:rPr>
                <w:rFonts w:cs="Times New Roman"/>
                <w:sz w:val="18"/>
                <w:szCs w:val="18"/>
              </w:rPr>
            </w:pPr>
            <w:r>
              <w:rPr>
                <w:rFonts w:cs="Times New Roman"/>
                <w:sz w:val="18"/>
                <w:szCs w:val="18"/>
              </w:rPr>
              <w:t>　</w:t>
            </w:r>
          </w:p>
        </w:tc>
        <w:tc>
          <w:tcPr>
            <w:tcW w:w="2551" w:type="dxa"/>
            <w:vAlign w:val="center"/>
          </w:tcPr>
          <w:p>
            <w:pPr>
              <w:spacing w:line="240" w:lineRule="exact"/>
              <w:ind w:firstLine="360" w:firstLineChars="200"/>
              <w:rPr>
                <w:color w:val="000000"/>
                <w:sz w:val="18"/>
                <w:szCs w:val="18"/>
              </w:rPr>
            </w:pPr>
            <w:r>
              <w:rPr>
                <w:rFonts w:cs="Times New Roman"/>
                <w:sz w:val="18"/>
                <w:szCs w:val="18"/>
              </w:rPr>
              <w:br w:type="textWrapping"/>
            </w:r>
            <w:r>
              <w:rPr>
                <w:rFonts w:cs="Times New Roman"/>
                <w:sz w:val="18"/>
                <w:szCs w:val="18"/>
              </w:rPr>
              <w:t>【法规】《中华人民共和国森林法实施条例》（2000年1月29日国务院令第278号公布， 2016年2月6日国务院令第666号修改）第四十条　违反本条例规定，未经批准，擅自在林区经营（含加工）木材的，由县级以上人民政府林业主管部门没收非法经营的木材和违法所得，并处违法所得2倍以下的罚款。</w:t>
            </w:r>
            <w:r>
              <w:rPr>
                <w:rFonts w:cs="Times New Roman"/>
                <w:sz w:val="18"/>
                <w:szCs w:val="18"/>
              </w:rPr>
              <w:br w:type="textWrapping"/>
            </w:r>
            <w:r>
              <w:rPr>
                <w:rFonts w:cs="Times New Roman"/>
                <w:sz w:val="18"/>
                <w:szCs w:val="18"/>
              </w:rPr>
              <w:t>【法规】《广西壮族自治区实施＜中华人民共和国森林法＞办法》（2006年9月29日广西壮族自治区第十届人民代表大会常务委员会第二十二次会议通过</w:t>
            </w:r>
            <w:r>
              <w:rPr>
                <w:rFonts w:hint="eastAsia" w:cs="Times New Roman"/>
                <w:sz w:val="18"/>
                <w:szCs w:val="18"/>
              </w:rPr>
              <w:t>，2016年11月30日广西壮族自治区第十二届人民代表大会常务委员会第二十六次会议《关于废止和修改部分地方性法规的决定》第二次修改</w:t>
            </w:r>
            <w:r>
              <w:rPr>
                <w:rFonts w:cs="Times New Roman"/>
                <w:sz w:val="18"/>
                <w:szCs w:val="18"/>
              </w:rPr>
              <w:t>）第四十</w:t>
            </w:r>
            <w:r>
              <w:rPr>
                <w:rFonts w:hint="eastAsia" w:cs="Times New Roman"/>
                <w:sz w:val="18"/>
                <w:szCs w:val="18"/>
              </w:rPr>
              <w:t>一</w:t>
            </w:r>
            <w:r>
              <w:rPr>
                <w:rFonts w:cs="Times New Roman"/>
                <w:sz w:val="18"/>
                <w:szCs w:val="18"/>
              </w:rPr>
              <w:t>条 违反本办法规定经营（加工）木材的，按照下列规定处罚：</w:t>
            </w:r>
            <w:r>
              <w:rPr>
                <w:rFonts w:cs="Times New Roman"/>
                <w:sz w:val="18"/>
                <w:szCs w:val="18"/>
              </w:rPr>
              <w:br w:type="textWrapping"/>
            </w:r>
            <w:r>
              <w:rPr>
                <w:rFonts w:cs="Times New Roman"/>
                <w:sz w:val="18"/>
                <w:szCs w:val="18"/>
              </w:rPr>
              <w:t>　　（一）无木材经营（加工）许可证，经营（加工）木材的，没收其经营（加工）的全部木材和违法所得，并处违法所得二倍以下罚款；</w:t>
            </w:r>
            <w:r>
              <w:rPr>
                <w:rFonts w:cs="Times New Roman"/>
                <w:sz w:val="18"/>
                <w:szCs w:val="18"/>
              </w:rPr>
              <w:br w:type="textWrapping"/>
            </w:r>
            <w:r>
              <w:rPr>
                <w:rFonts w:cs="Times New Roman"/>
                <w:sz w:val="18"/>
                <w:szCs w:val="18"/>
              </w:rPr>
              <w:t>　　（二）超越木材经营（加工）许可证规定的范围，经营（加工）木材的，对超越的部分，按照无木材经营（加工）许可证进行处罚；情节严重的，吊销经营（加工）许可证；</w:t>
            </w:r>
            <w:r>
              <w:rPr>
                <w:rFonts w:cs="Times New Roman"/>
                <w:sz w:val="18"/>
                <w:szCs w:val="18"/>
              </w:rPr>
              <w:br w:type="textWrapping"/>
            </w:r>
            <w:r>
              <w:rPr>
                <w:rFonts w:cs="Times New Roman"/>
                <w:sz w:val="18"/>
                <w:szCs w:val="18"/>
              </w:rPr>
              <w:t>　　（三）经营（加工）来源不合法的木材的，没收经营（加工）的木材及其违法所得，并处经营（加工）的木材价款二倍以下的罚款；情节严重的，吊销经营（加工）许可证。</w:t>
            </w:r>
          </w:p>
        </w:tc>
        <w:tc>
          <w:tcPr>
            <w:tcW w:w="2324"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746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40"/>
        <w:gridCol w:w="807"/>
        <w:gridCol w:w="730"/>
        <w:gridCol w:w="3417"/>
        <w:gridCol w:w="2407"/>
        <w:gridCol w:w="6524"/>
        <w:gridCol w:w="1557"/>
        <w:gridCol w:w="4674"/>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733"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807" w:type="dxa"/>
            <w:vAlign w:val="center"/>
          </w:tcPr>
          <w:p>
            <w:pPr>
              <w:spacing w:line="280" w:lineRule="exact"/>
              <w:jc w:val="center"/>
              <w:rPr>
                <w:rFonts w:cs="Times New Roman"/>
                <w:sz w:val="18"/>
                <w:szCs w:val="18"/>
              </w:rPr>
            </w:pPr>
            <w:r>
              <w:rPr>
                <w:rFonts w:cs="Times New Roman"/>
                <w:sz w:val="18"/>
                <w:szCs w:val="18"/>
              </w:rPr>
              <w:t>项目名称</w:t>
            </w:r>
          </w:p>
        </w:tc>
        <w:tc>
          <w:tcPr>
            <w:tcW w:w="730" w:type="dxa"/>
            <w:vAlign w:val="center"/>
          </w:tcPr>
          <w:p>
            <w:pPr>
              <w:spacing w:line="280" w:lineRule="exact"/>
              <w:jc w:val="center"/>
              <w:rPr>
                <w:rFonts w:cs="Times New Roman"/>
                <w:sz w:val="18"/>
                <w:szCs w:val="18"/>
              </w:rPr>
            </w:pPr>
            <w:r>
              <w:rPr>
                <w:rFonts w:cs="Times New Roman"/>
                <w:sz w:val="18"/>
                <w:szCs w:val="18"/>
              </w:rPr>
              <w:t>子项</w:t>
            </w:r>
          </w:p>
        </w:tc>
        <w:tc>
          <w:tcPr>
            <w:tcW w:w="3417" w:type="dxa"/>
            <w:vAlign w:val="center"/>
          </w:tcPr>
          <w:p>
            <w:pPr>
              <w:spacing w:line="280" w:lineRule="exact"/>
              <w:jc w:val="center"/>
              <w:rPr>
                <w:rFonts w:cs="Times New Roman"/>
                <w:sz w:val="18"/>
                <w:szCs w:val="18"/>
              </w:rPr>
            </w:pPr>
            <w:r>
              <w:rPr>
                <w:rFonts w:cs="Times New Roman"/>
                <w:sz w:val="18"/>
                <w:szCs w:val="18"/>
              </w:rPr>
              <w:t>实施依据</w:t>
            </w:r>
          </w:p>
        </w:tc>
        <w:tc>
          <w:tcPr>
            <w:tcW w:w="2407" w:type="dxa"/>
            <w:vAlign w:val="center"/>
          </w:tcPr>
          <w:p>
            <w:pPr>
              <w:spacing w:line="280" w:lineRule="exact"/>
              <w:jc w:val="center"/>
              <w:rPr>
                <w:rFonts w:cs="Times New Roman"/>
                <w:sz w:val="18"/>
                <w:szCs w:val="18"/>
              </w:rPr>
            </w:pPr>
            <w:r>
              <w:rPr>
                <w:rFonts w:cs="Times New Roman"/>
                <w:sz w:val="18"/>
                <w:szCs w:val="18"/>
              </w:rPr>
              <w:t>责任事项</w:t>
            </w:r>
          </w:p>
        </w:tc>
        <w:tc>
          <w:tcPr>
            <w:tcW w:w="6524"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4"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8" w:hRule="atLeast"/>
          <w:jc w:val="center"/>
        </w:trPr>
        <w:tc>
          <w:tcPr>
            <w:tcW w:w="733" w:type="dxa"/>
            <w:vAlign w:val="center"/>
          </w:tcPr>
          <w:p>
            <w:pPr>
              <w:spacing w:line="240" w:lineRule="exact"/>
              <w:jc w:val="center"/>
              <w:rPr>
                <w:rFonts w:cs="Times New Roman"/>
                <w:sz w:val="18"/>
                <w:szCs w:val="18"/>
              </w:rPr>
            </w:pPr>
            <w:r>
              <w:rPr>
                <w:rFonts w:hint="eastAsia" w:cs="Times New Roman"/>
                <w:sz w:val="18"/>
                <w:szCs w:val="18"/>
              </w:rPr>
              <w:t>40</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07" w:type="dxa"/>
            <w:vAlign w:val="center"/>
          </w:tcPr>
          <w:p>
            <w:pPr>
              <w:spacing w:line="240" w:lineRule="exact"/>
              <w:rPr>
                <w:rFonts w:cs="Times New Roman"/>
                <w:sz w:val="18"/>
                <w:szCs w:val="18"/>
              </w:rPr>
            </w:pPr>
            <w:r>
              <w:rPr>
                <w:rFonts w:hint="eastAsia" w:cs="Times New Roman"/>
                <w:sz w:val="18"/>
                <w:szCs w:val="18"/>
              </w:rPr>
              <w:t>对违反植物检疫规定的处罚</w:t>
            </w:r>
          </w:p>
        </w:tc>
        <w:tc>
          <w:tcPr>
            <w:tcW w:w="730" w:type="dxa"/>
            <w:vAlign w:val="center"/>
          </w:tcPr>
          <w:p>
            <w:pPr>
              <w:spacing w:line="240" w:lineRule="exact"/>
              <w:rPr>
                <w:rFonts w:cs="Times New Roman"/>
                <w:sz w:val="18"/>
                <w:szCs w:val="18"/>
              </w:rPr>
            </w:pPr>
            <w:r>
              <w:rPr>
                <w:rFonts w:cs="Times New Roman"/>
                <w:sz w:val="18"/>
                <w:szCs w:val="18"/>
              </w:rPr>
              <w:t>　</w:t>
            </w:r>
          </w:p>
        </w:tc>
        <w:tc>
          <w:tcPr>
            <w:tcW w:w="3417" w:type="dxa"/>
            <w:vAlign w:val="center"/>
          </w:tcPr>
          <w:p>
            <w:pPr>
              <w:spacing w:line="240" w:lineRule="exact"/>
              <w:ind w:firstLine="270" w:firstLineChars="150"/>
              <w:rPr>
                <w:rFonts w:cs="Times New Roman"/>
                <w:sz w:val="18"/>
                <w:szCs w:val="18"/>
              </w:rPr>
            </w:pPr>
            <w:r>
              <w:rPr>
                <w:rFonts w:cs="Times New Roman"/>
                <w:sz w:val="18"/>
                <w:szCs w:val="18"/>
              </w:rPr>
              <w:t>【法规】</w:t>
            </w:r>
            <w:r>
              <w:rPr>
                <w:rFonts w:hint="eastAsia" w:cs="Times New Roman"/>
                <w:sz w:val="18"/>
                <w:szCs w:val="18"/>
              </w:rPr>
              <w:t>《植物检疫条例》</w:t>
            </w:r>
            <w:r>
              <w:rPr>
                <w:rFonts w:cs="Times New Roman"/>
                <w:sz w:val="18"/>
                <w:szCs w:val="18"/>
              </w:rPr>
              <w:t>（1983年1月3号国务院发布施行，1992年5月13日国务院令第98号修订）</w:t>
            </w:r>
            <w:r>
              <w:rPr>
                <w:rFonts w:hint="eastAsia" w:cs="Times New Roman"/>
                <w:sz w:val="18"/>
                <w:szCs w:val="18"/>
              </w:rPr>
              <w:t>第十八条 有下列行为之一的，植物检疫机构应当责令纠正，可以处以罚款；造成损失的，应当负责赔偿；构成犯罪的，由司法机关依法追究刑事责任：</w:t>
            </w:r>
          </w:p>
          <w:p>
            <w:pPr>
              <w:spacing w:line="240" w:lineRule="exact"/>
              <w:ind w:firstLine="360" w:firstLineChars="200"/>
              <w:rPr>
                <w:rFonts w:cs="Times New Roman"/>
                <w:sz w:val="18"/>
                <w:szCs w:val="18"/>
              </w:rPr>
            </w:pPr>
            <w:r>
              <w:rPr>
                <w:rFonts w:hint="eastAsia" w:cs="Times New Roman"/>
                <w:sz w:val="18"/>
                <w:szCs w:val="18"/>
              </w:rPr>
              <w:t>（一）未依照本条例规定办理植物检疫证书或者在报检过程中弄虚作假的；</w:t>
            </w:r>
          </w:p>
          <w:p>
            <w:pPr>
              <w:spacing w:line="240" w:lineRule="exact"/>
              <w:ind w:firstLine="360" w:firstLineChars="200"/>
              <w:rPr>
                <w:rFonts w:cs="Times New Roman"/>
                <w:sz w:val="18"/>
                <w:szCs w:val="18"/>
              </w:rPr>
            </w:pPr>
            <w:r>
              <w:rPr>
                <w:rFonts w:hint="eastAsia" w:cs="Times New Roman"/>
                <w:sz w:val="18"/>
                <w:szCs w:val="18"/>
              </w:rPr>
              <w:t>（二）伪造、涂改、买卖、转让植物检疫单证、印章、标志、封识的；</w:t>
            </w:r>
          </w:p>
          <w:p>
            <w:pPr>
              <w:spacing w:line="240" w:lineRule="exact"/>
              <w:ind w:firstLine="360" w:firstLineChars="200"/>
              <w:rPr>
                <w:rFonts w:cs="Times New Roman"/>
                <w:sz w:val="18"/>
                <w:szCs w:val="18"/>
              </w:rPr>
            </w:pPr>
            <w:r>
              <w:rPr>
                <w:rFonts w:hint="eastAsia" w:cs="Times New Roman"/>
                <w:sz w:val="18"/>
                <w:szCs w:val="18"/>
              </w:rPr>
              <w:t>（三）未依照本条例规定调运、隔离试种或者生产应施检疫的植物、植物产品的；</w:t>
            </w:r>
          </w:p>
          <w:p>
            <w:pPr>
              <w:spacing w:line="240" w:lineRule="exact"/>
              <w:ind w:firstLine="360" w:firstLineChars="200"/>
              <w:rPr>
                <w:rFonts w:cs="Times New Roman"/>
                <w:sz w:val="18"/>
                <w:szCs w:val="18"/>
              </w:rPr>
            </w:pPr>
            <w:r>
              <w:rPr>
                <w:rFonts w:hint="eastAsia" w:cs="Times New Roman"/>
                <w:sz w:val="18"/>
                <w:szCs w:val="18"/>
              </w:rPr>
              <w:t>（四）违反本条例规定，擅自开拆植物、植物产品包装、调换植物、植物产品，或者擅自改变植物、植物产品的规定用途的；</w:t>
            </w:r>
          </w:p>
          <w:p>
            <w:pPr>
              <w:spacing w:line="240" w:lineRule="exact"/>
              <w:ind w:firstLine="360" w:firstLineChars="200"/>
              <w:rPr>
                <w:rFonts w:cs="Times New Roman"/>
                <w:sz w:val="18"/>
                <w:szCs w:val="18"/>
              </w:rPr>
            </w:pPr>
            <w:r>
              <w:rPr>
                <w:rFonts w:hint="eastAsia" w:cs="Times New Roman"/>
                <w:sz w:val="18"/>
                <w:szCs w:val="18"/>
              </w:rPr>
              <w:t>（五）违反本条例规定，引起疫情扩散的。有前款第（一）、（二）、（三）、（四）项所列情形之一，尚不构成犯罪的，植物检疫机构可以没收非法所得。对违反本条例规定调运的植物和植物产品，植物检疫机构有权予以封存、没收、销毁或者责令改变用途。销毁所需费用由责任人承担。</w:t>
            </w:r>
          </w:p>
          <w:p>
            <w:pPr>
              <w:spacing w:line="240" w:lineRule="exact"/>
              <w:ind w:firstLine="270" w:firstLineChars="150"/>
              <w:rPr>
                <w:rFonts w:cs="Times New Roman"/>
                <w:sz w:val="18"/>
                <w:szCs w:val="18"/>
              </w:rPr>
            </w:pPr>
            <w:r>
              <w:rPr>
                <w:rFonts w:cs="Times New Roman"/>
                <w:sz w:val="18"/>
                <w:szCs w:val="18"/>
              </w:rPr>
              <w:t>【法规】</w:t>
            </w:r>
            <w:r>
              <w:rPr>
                <w:rFonts w:hint="eastAsia" w:cs="Times New Roman"/>
                <w:sz w:val="18"/>
                <w:szCs w:val="18"/>
              </w:rPr>
              <w:t>《植物检疫条例实施细则（林业部分）》</w:t>
            </w:r>
            <w:r>
              <w:rPr>
                <w:rFonts w:cs="Times New Roman"/>
                <w:sz w:val="18"/>
                <w:szCs w:val="18"/>
              </w:rPr>
              <w:t>（1994年7月26日林业部令第4号发布）</w:t>
            </w:r>
            <w:r>
              <w:rPr>
                <w:rFonts w:hint="eastAsia" w:cs="Times New Roman"/>
                <w:sz w:val="18"/>
                <w:szCs w:val="18"/>
              </w:rPr>
              <w:t>第三十条 有下列行为之一的，森检机构应当责令纠正，可以处以50元至2000元罚款；造成损失的，应当责令赔偿；构成犯罪的，由司法机关依法追究刑事责任：</w:t>
            </w:r>
          </w:p>
          <w:p>
            <w:pPr>
              <w:spacing w:line="240" w:lineRule="exact"/>
              <w:ind w:firstLine="360" w:firstLineChars="200"/>
              <w:rPr>
                <w:rFonts w:cs="Times New Roman"/>
                <w:sz w:val="18"/>
                <w:szCs w:val="18"/>
              </w:rPr>
            </w:pPr>
            <w:r>
              <w:rPr>
                <w:rFonts w:hint="eastAsia" w:cs="Times New Roman"/>
                <w:sz w:val="18"/>
                <w:szCs w:val="18"/>
              </w:rPr>
              <w:t>（一）未依照规定办理《植物检疫证书》或者在报检过程中弄虚作假的；</w:t>
            </w:r>
          </w:p>
          <w:p>
            <w:pPr>
              <w:spacing w:line="240" w:lineRule="exact"/>
              <w:ind w:firstLine="360" w:firstLineChars="200"/>
              <w:rPr>
                <w:rFonts w:cs="Times New Roman"/>
                <w:sz w:val="18"/>
                <w:szCs w:val="18"/>
              </w:rPr>
            </w:pPr>
            <w:r>
              <w:rPr>
                <w:rFonts w:hint="eastAsia" w:cs="Times New Roman"/>
                <w:sz w:val="18"/>
                <w:szCs w:val="18"/>
              </w:rPr>
              <w:t>（二）伪造、涂改、买卖、转让植物检疫单证、印章、标志、封识的；</w:t>
            </w:r>
          </w:p>
          <w:p>
            <w:pPr>
              <w:spacing w:line="240" w:lineRule="exact"/>
              <w:ind w:firstLine="360" w:firstLineChars="200"/>
              <w:rPr>
                <w:rFonts w:cs="Times New Roman"/>
                <w:sz w:val="18"/>
                <w:szCs w:val="18"/>
              </w:rPr>
            </w:pPr>
            <w:r>
              <w:rPr>
                <w:rFonts w:hint="eastAsia" w:cs="Times New Roman"/>
                <w:sz w:val="18"/>
                <w:szCs w:val="18"/>
              </w:rPr>
              <w:t>（三）未依照规定调运、隔离试种或者生产应施检疫的森林植物及其产品的；</w:t>
            </w:r>
          </w:p>
          <w:p>
            <w:pPr>
              <w:spacing w:line="240" w:lineRule="exact"/>
              <w:ind w:firstLine="360" w:firstLineChars="200"/>
              <w:rPr>
                <w:rFonts w:cs="Times New Roman"/>
                <w:sz w:val="18"/>
                <w:szCs w:val="18"/>
              </w:rPr>
            </w:pPr>
            <w:r>
              <w:rPr>
                <w:rFonts w:hint="eastAsia" w:cs="Times New Roman"/>
                <w:sz w:val="18"/>
                <w:szCs w:val="18"/>
              </w:rPr>
              <w:t>（四）违反规定，擅自开拆森林植物及其产品的包装，调换森林植物及其产品，或者擅自改变森林植物及其产品的规定用途的；</w:t>
            </w:r>
          </w:p>
          <w:p>
            <w:pPr>
              <w:spacing w:line="240" w:lineRule="exact"/>
              <w:ind w:firstLine="360" w:firstLineChars="200"/>
              <w:rPr>
                <w:color w:val="000000"/>
                <w:sz w:val="18"/>
                <w:szCs w:val="18"/>
              </w:rPr>
            </w:pPr>
            <w:r>
              <w:rPr>
                <w:rFonts w:hint="eastAsia" w:cs="Times New Roman"/>
                <w:sz w:val="18"/>
                <w:szCs w:val="18"/>
              </w:rPr>
              <w:t>（五）违反规定，引起疫情扩散的。 有前款第（一）、（二）、（三）、（四）项所列情形之一尚不构成犯罪的，森检机构可以没收非法所得。对违反规定调运的森林植物及其产品，森检机构有权予以封存、没收、销毁或者责令改变用途，销毁所需费用由责任人承担。</w:t>
            </w:r>
          </w:p>
        </w:tc>
        <w:tc>
          <w:tcPr>
            <w:tcW w:w="2407"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524"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jc w:val="center"/>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40"/>
        <w:gridCol w:w="826"/>
        <w:gridCol w:w="710"/>
        <w:gridCol w:w="3012"/>
        <w:gridCol w:w="2549"/>
        <w:gridCol w:w="6806"/>
        <w:gridCol w:w="1559"/>
        <w:gridCol w:w="4674"/>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714"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826" w:type="dxa"/>
            <w:vAlign w:val="center"/>
          </w:tcPr>
          <w:p>
            <w:pPr>
              <w:spacing w:line="280" w:lineRule="exact"/>
              <w:jc w:val="center"/>
              <w:rPr>
                <w:rFonts w:cs="Times New Roman"/>
                <w:sz w:val="18"/>
                <w:szCs w:val="18"/>
              </w:rPr>
            </w:pPr>
            <w:r>
              <w:rPr>
                <w:rFonts w:cs="Times New Roman"/>
                <w:sz w:val="18"/>
                <w:szCs w:val="18"/>
              </w:rPr>
              <w:t>项目名称</w:t>
            </w:r>
          </w:p>
        </w:tc>
        <w:tc>
          <w:tcPr>
            <w:tcW w:w="710" w:type="dxa"/>
            <w:vAlign w:val="center"/>
          </w:tcPr>
          <w:p>
            <w:pPr>
              <w:spacing w:line="280" w:lineRule="exact"/>
              <w:jc w:val="center"/>
              <w:rPr>
                <w:rFonts w:cs="Times New Roman"/>
                <w:sz w:val="18"/>
                <w:szCs w:val="18"/>
              </w:rPr>
            </w:pPr>
            <w:r>
              <w:rPr>
                <w:rFonts w:cs="Times New Roman"/>
                <w:sz w:val="18"/>
                <w:szCs w:val="18"/>
              </w:rPr>
              <w:t>子项</w:t>
            </w:r>
          </w:p>
        </w:tc>
        <w:tc>
          <w:tcPr>
            <w:tcW w:w="3012" w:type="dxa"/>
            <w:vAlign w:val="center"/>
          </w:tcPr>
          <w:p>
            <w:pPr>
              <w:spacing w:line="280" w:lineRule="exact"/>
              <w:jc w:val="center"/>
              <w:rPr>
                <w:rFonts w:cs="Times New Roman"/>
                <w:sz w:val="18"/>
                <w:szCs w:val="18"/>
              </w:rPr>
            </w:pPr>
            <w:r>
              <w:rPr>
                <w:rFonts w:cs="Times New Roman"/>
                <w:sz w:val="18"/>
                <w:szCs w:val="18"/>
              </w:rPr>
              <w:t>实施依据</w:t>
            </w:r>
          </w:p>
        </w:tc>
        <w:tc>
          <w:tcPr>
            <w:tcW w:w="2549" w:type="dxa"/>
            <w:vAlign w:val="center"/>
          </w:tcPr>
          <w:p>
            <w:pPr>
              <w:spacing w:line="280" w:lineRule="exact"/>
              <w:jc w:val="center"/>
              <w:rPr>
                <w:rFonts w:cs="Times New Roman"/>
                <w:sz w:val="18"/>
                <w:szCs w:val="18"/>
              </w:rPr>
            </w:pPr>
            <w:r>
              <w:rPr>
                <w:rFonts w:cs="Times New Roman"/>
                <w:sz w:val="18"/>
                <w:szCs w:val="18"/>
              </w:rPr>
              <w:t>责任事项</w:t>
            </w:r>
          </w:p>
        </w:tc>
        <w:tc>
          <w:tcPr>
            <w:tcW w:w="6806" w:type="dxa"/>
            <w:vAlign w:val="center"/>
          </w:tcPr>
          <w:p>
            <w:pPr>
              <w:spacing w:line="280" w:lineRule="exact"/>
              <w:jc w:val="center"/>
              <w:rPr>
                <w:rFonts w:cs="Times New Roman"/>
                <w:sz w:val="18"/>
                <w:szCs w:val="18"/>
              </w:rPr>
            </w:pPr>
            <w:r>
              <w:rPr>
                <w:rFonts w:cs="Times New Roman"/>
                <w:sz w:val="18"/>
                <w:szCs w:val="18"/>
              </w:rPr>
              <w:t>责任事项依据</w:t>
            </w:r>
          </w:p>
        </w:tc>
        <w:tc>
          <w:tcPr>
            <w:tcW w:w="1559" w:type="dxa"/>
            <w:vAlign w:val="center"/>
          </w:tcPr>
          <w:p>
            <w:pPr>
              <w:spacing w:line="280" w:lineRule="exact"/>
              <w:jc w:val="center"/>
              <w:rPr>
                <w:rFonts w:cs="Times New Roman"/>
                <w:sz w:val="18"/>
                <w:szCs w:val="18"/>
              </w:rPr>
            </w:pPr>
            <w:r>
              <w:rPr>
                <w:rFonts w:cs="Times New Roman"/>
                <w:sz w:val="18"/>
                <w:szCs w:val="18"/>
              </w:rPr>
              <w:t>追责情形</w:t>
            </w:r>
          </w:p>
        </w:tc>
        <w:tc>
          <w:tcPr>
            <w:tcW w:w="4674"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9" w:hRule="atLeast"/>
          <w:jc w:val="center"/>
        </w:trPr>
        <w:tc>
          <w:tcPr>
            <w:tcW w:w="714" w:type="dxa"/>
            <w:vAlign w:val="center"/>
          </w:tcPr>
          <w:p>
            <w:pPr>
              <w:spacing w:line="240" w:lineRule="exact"/>
              <w:rPr>
                <w:rFonts w:cs="Times New Roman"/>
                <w:sz w:val="18"/>
                <w:szCs w:val="18"/>
              </w:rPr>
            </w:pPr>
            <w:r>
              <w:rPr>
                <w:rFonts w:hint="eastAsia" w:cs="Times New Roman"/>
                <w:sz w:val="18"/>
                <w:szCs w:val="18"/>
              </w:rPr>
              <w:t>41</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26" w:type="dxa"/>
            <w:vAlign w:val="center"/>
          </w:tcPr>
          <w:p>
            <w:pPr>
              <w:spacing w:line="240" w:lineRule="exact"/>
              <w:rPr>
                <w:rFonts w:cs="Times New Roman"/>
                <w:sz w:val="18"/>
                <w:szCs w:val="18"/>
              </w:rPr>
            </w:pPr>
            <w:r>
              <w:rPr>
                <w:rFonts w:hint="eastAsia" w:cs="Times New Roman"/>
                <w:sz w:val="18"/>
                <w:szCs w:val="18"/>
              </w:rPr>
              <w:t>对违反森林病虫害防治规定的处罚</w:t>
            </w:r>
          </w:p>
        </w:tc>
        <w:tc>
          <w:tcPr>
            <w:tcW w:w="710" w:type="dxa"/>
            <w:vAlign w:val="center"/>
          </w:tcPr>
          <w:p>
            <w:pPr>
              <w:spacing w:line="240" w:lineRule="exact"/>
              <w:rPr>
                <w:rFonts w:cs="Times New Roman"/>
                <w:sz w:val="18"/>
                <w:szCs w:val="18"/>
              </w:rPr>
            </w:pPr>
            <w:r>
              <w:rPr>
                <w:rFonts w:cs="Times New Roman"/>
                <w:sz w:val="18"/>
                <w:szCs w:val="18"/>
              </w:rPr>
              <w:t>　</w:t>
            </w:r>
          </w:p>
        </w:tc>
        <w:tc>
          <w:tcPr>
            <w:tcW w:w="3012" w:type="dxa"/>
            <w:vAlign w:val="center"/>
          </w:tcPr>
          <w:p>
            <w:pPr>
              <w:spacing w:line="240" w:lineRule="exact"/>
              <w:ind w:firstLine="360" w:firstLineChars="200"/>
              <w:rPr>
                <w:color w:val="000000"/>
                <w:sz w:val="18"/>
                <w:szCs w:val="18"/>
              </w:rPr>
            </w:pPr>
            <w:r>
              <w:rPr>
                <w:rFonts w:cs="Times New Roman"/>
                <w:sz w:val="18"/>
                <w:szCs w:val="18"/>
              </w:rPr>
              <w:t>【法规】《森林病虫害防治条例》(</w:t>
            </w:r>
            <w:r>
              <w:rPr>
                <w:rFonts w:hint="eastAsia" w:cs="Times New Roman"/>
                <w:sz w:val="18"/>
                <w:szCs w:val="18"/>
              </w:rPr>
              <w:t>1989年12月18日</w:t>
            </w:r>
            <w:r>
              <w:rPr>
                <w:rFonts w:cs="Times New Roman"/>
                <w:sz w:val="18"/>
                <w:szCs w:val="18"/>
              </w:rPr>
              <w:t>国务院令46号</w:t>
            </w:r>
            <w:r>
              <w:rPr>
                <w:rFonts w:hint="eastAsia" w:cs="Times New Roman"/>
                <w:sz w:val="18"/>
                <w:szCs w:val="18"/>
              </w:rPr>
              <w:t>公布</w:t>
            </w:r>
            <w:r>
              <w:rPr>
                <w:rFonts w:cs="Times New Roman"/>
                <w:sz w:val="18"/>
                <w:szCs w:val="18"/>
              </w:rPr>
              <w:t>)第二十二条有下列行为之一的，责令限期除治、赔偿损失，可以并处一百元至二千元的罚款：（一）用带有危险性病虫害的林木种苗进行育苗或者造林的；</w:t>
            </w:r>
            <w:r>
              <w:rPr>
                <w:rFonts w:hint="eastAsia" w:cs="Times New Roman"/>
                <w:sz w:val="18"/>
                <w:szCs w:val="18"/>
              </w:rPr>
              <w:t>（</w:t>
            </w:r>
            <w:r>
              <w:rPr>
                <w:rFonts w:cs="Times New Roman"/>
                <w:sz w:val="18"/>
                <w:szCs w:val="18"/>
              </w:rPr>
              <w:t>二）发生森林病虫害不除治或者除治不力，造成森林病虫害蔓延成灾的；</w:t>
            </w:r>
            <w:r>
              <w:rPr>
                <w:rFonts w:hint="eastAsia" w:cs="Times New Roman"/>
                <w:sz w:val="18"/>
                <w:szCs w:val="18"/>
              </w:rPr>
              <w:t>（</w:t>
            </w:r>
            <w:r>
              <w:rPr>
                <w:rFonts w:cs="Times New Roman"/>
                <w:sz w:val="18"/>
                <w:szCs w:val="18"/>
              </w:rPr>
              <w:t>三）隐瞒或者虚报森林病虫害情况，造成森林病虫害蔓延成灾的。第二十六条本条例规定的行政处罚，由县级以上人民政府林业主管部门或其授权的单位决定。</w:t>
            </w:r>
          </w:p>
        </w:tc>
        <w:tc>
          <w:tcPr>
            <w:tcW w:w="2549"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806"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9"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740"/>
        <w:gridCol w:w="827"/>
        <w:gridCol w:w="788"/>
        <w:gridCol w:w="2937"/>
        <w:gridCol w:w="2552"/>
        <w:gridCol w:w="6812"/>
        <w:gridCol w:w="1560"/>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715" w:type="dxa"/>
            <w:vAlign w:val="center"/>
          </w:tcPr>
          <w:p>
            <w:pPr>
              <w:spacing w:line="240" w:lineRule="exact"/>
              <w:jc w:val="center"/>
              <w:rPr>
                <w:rFonts w:cs="Times New Roman"/>
                <w:sz w:val="18"/>
                <w:szCs w:val="18"/>
              </w:rPr>
            </w:pPr>
            <w:r>
              <w:rPr>
                <w:rFonts w:cs="Times New Roman"/>
                <w:sz w:val="18"/>
                <w:szCs w:val="18"/>
              </w:rPr>
              <w:t>序号</w:t>
            </w:r>
          </w:p>
        </w:tc>
        <w:tc>
          <w:tcPr>
            <w:tcW w:w="740" w:type="dxa"/>
            <w:vAlign w:val="center"/>
          </w:tcPr>
          <w:p>
            <w:pPr>
              <w:spacing w:line="240" w:lineRule="exact"/>
              <w:jc w:val="center"/>
              <w:rPr>
                <w:rFonts w:cs="Times New Roman"/>
                <w:sz w:val="18"/>
                <w:szCs w:val="18"/>
              </w:rPr>
            </w:pPr>
            <w:r>
              <w:rPr>
                <w:rFonts w:cs="Times New Roman"/>
                <w:sz w:val="18"/>
                <w:szCs w:val="18"/>
              </w:rPr>
              <w:t>权力分类</w:t>
            </w:r>
          </w:p>
        </w:tc>
        <w:tc>
          <w:tcPr>
            <w:tcW w:w="827" w:type="dxa"/>
            <w:vAlign w:val="center"/>
          </w:tcPr>
          <w:p>
            <w:pPr>
              <w:spacing w:line="240" w:lineRule="exact"/>
              <w:jc w:val="center"/>
              <w:rPr>
                <w:rFonts w:cs="Times New Roman"/>
                <w:sz w:val="18"/>
                <w:szCs w:val="18"/>
              </w:rPr>
            </w:pPr>
            <w:r>
              <w:rPr>
                <w:rFonts w:cs="Times New Roman"/>
                <w:sz w:val="18"/>
                <w:szCs w:val="18"/>
              </w:rPr>
              <w:t>项目名称</w:t>
            </w:r>
          </w:p>
        </w:tc>
        <w:tc>
          <w:tcPr>
            <w:tcW w:w="788" w:type="dxa"/>
            <w:vAlign w:val="center"/>
          </w:tcPr>
          <w:p>
            <w:pPr>
              <w:spacing w:line="240" w:lineRule="exact"/>
              <w:jc w:val="center"/>
              <w:rPr>
                <w:rFonts w:cs="Times New Roman"/>
                <w:sz w:val="18"/>
                <w:szCs w:val="18"/>
              </w:rPr>
            </w:pPr>
            <w:r>
              <w:rPr>
                <w:rFonts w:cs="Times New Roman"/>
                <w:sz w:val="18"/>
                <w:szCs w:val="18"/>
              </w:rPr>
              <w:t>子项</w:t>
            </w:r>
          </w:p>
        </w:tc>
        <w:tc>
          <w:tcPr>
            <w:tcW w:w="2937" w:type="dxa"/>
            <w:vAlign w:val="center"/>
          </w:tcPr>
          <w:p>
            <w:pPr>
              <w:spacing w:line="240" w:lineRule="exact"/>
              <w:jc w:val="center"/>
              <w:rPr>
                <w:rFonts w:cs="Times New Roman"/>
                <w:sz w:val="18"/>
                <w:szCs w:val="18"/>
              </w:rPr>
            </w:pPr>
            <w:r>
              <w:rPr>
                <w:rFonts w:cs="Times New Roman"/>
                <w:sz w:val="18"/>
                <w:szCs w:val="18"/>
              </w:rPr>
              <w:t>实施依据</w:t>
            </w:r>
          </w:p>
        </w:tc>
        <w:tc>
          <w:tcPr>
            <w:tcW w:w="2552" w:type="dxa"/>
            <w:vAlign w:val="center"/>
          </w:tcPr>
          <w:p>
            <w:pPr>
              <w:spacing w:line="240" w:lineRule="exact"/>
              <w:jc w:val="center"/>
              <w:rPr>
                <w:rFonts w:cs="Times New Roman"/>
                <w:sz w:val="18"/>
                <w:szCs w:val="18"/>
              </w:rPr>
            </w:pPr>
            <w:r>
              <w:rPr>
                <w:rFonts w:cs="Times New Roman"/>
                <w:sz w:val="18"/>
                <w:szCs w:val="18"/>
              </w:rPr>
              <w:t>责任事项</w:t>
            </w:r>
          </w:p>
        </w:tc>
        <w:tc>
          <w:tcPr>
            <w:tcW w:w="6812" w:type="dxa"/>
            <w:vAlign w:val="center"/>
          </w:tcPr>
          <w:p>
            <w:pPr>
              <w:spacing w:line="240" w:lineRule="exact"/>
              <w:jc w:val="center"/>
              <w:rPr>
                <w:rFonts w:cs="Times New Roman"/>
                <w:sz w:val="18"/>
                <w:szCs w:val="18"/>
              </w:rPr>
            </w:pPr>
            <w:r>
              <w:rPr>
                <w:rFonts w:cs="Times New Roman"/>
                <w:sz w:val="18"/>
                <w:szCs w:val="18"/>
              </w:rPr>
              <w:t>责任事项依据</w:t>
            </w:r>
          </w:p>
        </w:tc>
        <w:tc>
          <w:tcPr>
            <w:tcW w:w="1560" w:type="dxa"/>
            <w:vAlign w:val="center"/>
          </w:tcPr>
          <w:p>
            <w:pPr>
              <w:spacing w:line="240" w:lineRule="exact"/>
              <w:jc w:val="center"/>
              <w:rPr>
                <w:rFonts w:cs="Times New Roman"/>
                <w:sz w:val="18"/>
                <w:szCs w:val="18"/>
              </w:rPr>
            </w:pPr>
            <w:r>
              <w:rPr>
                <w:rFonts w:cs="Times New Roman"/>
                <w:sz w:val="18"/>
                <w:szCs w:val="18"/>
              </w:rPr>
              <w:t>追责情形</w:t>
            </w:r>
          </w:p>
        </w:tc>
        <w:tc>
          <w:tcPr>
            <w:tcW w:w="4678" w:type="dxa"/>
            <w:vAlign w:val="center"/>
          </w:tcPr>
          <w:p>
            <w:pPr>
              <w:spacing w:line="240" w:lineRule="exact"/>
              <w:jc w:val="center"/>
              <w:rPr>
                <w:rFonts w:cs="Times New Roman"/>
                <w:sz w:val="18"/>
                <w:szCs w:val="18"/>
              </w:rPr>
            </w:pPr>
            <w:r>
              <w:rPr>
                <w:rFonts w:cs="Times New Roman"/>
                <w:sz w:val="18"/>
                <w:szCs w:val="18"/>
              </w:rPr>
              <w:t>追责依据</w:t>
            </w:r>
          </w:p>
        </w:tc>
        <w:tc>
          <w:tcPr>
            <w:tcW w:w="611" w:type="dxa"/>
            <w:vAlign w:val="center"/>
          </w:tcPr>
          <w:p>
            <w:pPr>
              <w:spacing w:line="24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6" w:hRule="atLeast"/>
          <w:jc w:val="center"/>
        </w:trPr>
        <w:tc>
          <w:tcPr>
            <w:tcW w:w="715" w:type="dxa"/>
            <w:vAlign w:val="center"/>
          </w:tcPr>
          <w:p>
            <w:pPr>
              <w:spacing w:line="240" w:lineRule="exact"/>
              <w:rPr>
                <w:rFonts w:cs="Times New Roman"/>
                <w:sz w:val="18"/>
                <w:szCs w:val="18"/>
              </w:rPr>
            </w:pPr>
            <w:r>
              <w:rPr>
                <w:rFonts w:hint="eastAsia" w:cs="Times New Roman"/>
                <w:sz w:val="18"/>
                <w:szCs w:val="18"/>
              </w:rPr>
              <w:t>42</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27" w:type="dxa"/>
            <w:vAlign w:val="center"/>
          </w:tcPr>
          <w:p>
            <w:pPr>
              <w:spacing w:line="240" w:lineRule="exact"/>
              <w:rPr>
                <w:rFonts w:cs="Times New Roman"/>
                <w:sz w:val="18"/>
                <w:szCs w:val="18"/>
              </w:rPr>
            </w:pPr>
            <w:r>
              <w:rPr>
                <w:rFonts w:cs="Times New Roman"/>
                <w:sz w:val="18"/>
                <w:szCs w:val="18"/>
              </w:rPr>
              <w:t>对森林、林木、林地的经营单位或者个人未履行森林防火责任的处罚</w:t>
            </w:r>
          </w:p>
        </w:tc>
        <w:tc>
          <w:tcPr>
            <w:tcW w:w="788" w:type="dxa"/>
            <w:vAlign w:val="center"/>
          </w:tcPr>
          <w:p>
            <w:pPr>
              <w:spacing w:line="240" w:lineRule="exact"/>
              <w:rPr>
                <w:rFonts w:cs="Times New Roman"/>
                <w:sz w:val="18"/>
                <w:szCs w:val="18"/>
              </w:rPr>
            </w:pPr>
            <w:r>
              <w:rPr>
                <w:rFonts w:cs="Times New Roman"/>
                <w:sz w:val="18"/>
                <w:szCs w:val="18"/>
              </w:rPr>
              <w:t>　</w:t>
            </w:r>
          </w:p>
        </w:tc>
        <w:tc>
          <w:tcPr>
            <w:tcW w:w="2937" w:type="dxa"/>
            <w:vAlign w:val="center"/>
          </w:tcPr>
          <w:p>
            <w:pPr>
              <w:pStyle w:val="5"/>
              <w:shd w:val="clear" w:color="auto" w:fill="FFFFFF"/>
              <w:spacing w:before="0" w:beforeAutospacing="0" w:after="169" w:afterAutospacing="0" w:line="240" w:lineRule="exact"/>
              <w:ind w:firstLine="360" w:firstLineChars="200"/>
              <w:rPr>
                <w:rFonts w:cs="Times New Roman"/>
                <w:sz w:val="18"/>
                <w:szCs w:val="18"/>
              </w:rPr>
            </w:pPr>
            <w:r>
              <w:rPr>
                <w:rFonts w:cs="Times New Roman"/>
                <w:sz w:val="18"/>
                <w:szCs w:val="18"/>
              </w:rPr>
              <w:t>【法规】《森林防火条例》（1988年1月16日国务院公布，2008年12月1日</w:t>
            </w:r>
            <w:r>
              <w:rPr>
                <w:rFonts w:hint="eastAsia" w:cs="Times New Roman"/>
                <w:sz w:val="18"/>
                <w:szCs w:val="18"/>
              </w:rPr>
              <w:t>国务院541号令</w:t>
            </w:r>
            <w:r>
              <w:rPr>
                <w:rFonts w:cs="Times New Roman"/>
                <w:sz w:val="18"/>
                <w:szCs w:val="18"/>
              </w:rPr>
              <w:t>修改）第四十八条违反本条例规定，森林、林木、林地的经营单位或者个人未履行森林防火责任的，由县级以上地方人民政府林业主管部门责令改正，对个人处500元以上5000元以下罚款，对单位处1万元以上5万元以下罚款。第五十三条　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p>
            <w:pPr>
              <w:spacing w:line="240" w:lineRule="exact"/>
              <w:ind w:firstLine="360" w:firstLineChars="200"/>
              <w:rPr>
                <w:color w:val="000000"/>
                <w:sz w:val="18"/>
                <w:szCs w:val="18"/>
              </w:rPr>
            </w:pPr>
          </w:p>
        </w:tc>
        <w:tc>
          <w:tcPr>
            <w:tcW w:w="2552"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812"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w:t>
            </w:r>
            <w:r>
              <w:rPr>
                <w:rFonts w:hint="eastAsia" w:cs="Times New Roman"/>
                <w:sz w:val="18"/>
                <w:szCs w:val="18"/>
              </w:rPr>
              <w:t>；</w:t>
            </w:r>
            <w:r>
              <w:rPr>
                <w:rFonts w:cs="Times New Roman"/>
                <w:sz w:val="18"/>
                <w:szCs w:val="18"/>
              </w:rPr>
              <w:t>(二)根据法律规定，将查封、扣押的财物拍卖或者将冻结的存款划拨抵缴罚款</w:t>
            </w:r>
            <w:r>
              <w:rPr>
                <w:rFonts w:hint="eastAsia" w:cs="Times New Roman"/>
                <w:sz w:val="18"/>
                <w:szCs w:val="18"/>
              </w:rPr>
              <w:t>；</w:t>
            </w:r>
            <w:r>
              <w:rPr>
                <w:rFonts w:cs="Times New Roman"/>
                <w:sz w:val="18"/>
                <w:szCs w:val="18"/>
              </w:rPr>
              <w:t>(三)申请人民法院强制执行。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702"/>
        <w:gridCol w:w="827"/>
        <w:gridCol w:w="788"/>
        <w:gridCol w:w="2937"/>
        <w:gridCol w:w="2552"/>
        <w:gridCol w:w="6812"/>
        <w:gridCol w:w="1560"/>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53" w:type="dxa"/>
            <w:vAlign w:val="center"/>
          </w:tcPr>
          <w:p>
            <w:pPr>
              <w:spacing w:line="280" w:lineRule="exact"/>
              <w:jc w:val="center"/>
              <w:rPr>
                <w:rFonts w:cs="Times New Roman"/>
                <w:sz w:val="18"/>
                <w:szCs w:val="18"/>
              </w:rPr>
            </w:pPr>
            <w:r>
              <w:rPr>
                <w:rFonts w:cs="Times New Roman"/>
                <w:sz w:val="18"/>
                <w:szCs w:val="18"/>
              </w:rPr>
              <w:t>序号</w:t>
            </w:r>
          </w:p>
        </w:tc>
        <w:tc>
          <w:tcPr>
            <w:tcW w:w="702" w:type="dxa"/>
            <w:vAlign w:val="center"/>
          </w:tcPr>
          <w:p>
            <w:pPr>
              <w:spacing w:line="280" w:lineRule="exact"/>
              <w:jc w:val="center"/>
              <w:rPr>
                <w:rFonts w:cs="Times New Roman"/>
                <w:sz w:val="18"/>
                <w:szCs w:val="18"/>
              </w:rPr>
            </w:pPr>
            <w:r>
              <w:rPr>
                <w:rFonts w:cs="Times New Roman"/>
                <w:sz w:val="18"/>
                <w:szCs w:val="18"/>
              </w:rPr>
              <w:t>权力分类</w:t>
            </w:r>
          </w:p>
        </w:tc>
        <w:tc>
          <w:tcPr>
            <w:tcW w:w="827" w:type="dxa"/>
            <w:vAlign w:val="center"/>
          </w:tcPr>
          <w:p>
            <w:pPr>
              <w:spacing w:line="280" w:lineRule="exact"/>
              <w:jc w:val="center"/>
              <w:rPr>
                <w:rFonts w:cs="Times New Roman"/>
                <w:sz w:val="18"/>
                <w:szCs w:val="18"/>
              </w:rPr>
            </w:pPr>
            <w:r>
              <w:rPr>
                <w:rFonts w:cs="Times New Roman"/>
                <w:sz w:val="18"/>
                <w:szCs w:val="18"/>
              </w:rPr>
              <w:t>项目名称</w:t>
            </w:r>
          </w:p>
        </w:tc>
        <w:tc>
          <w:tcPr>
            <w:tcW w:w="788" w:type="dxa"/>
            <w:vAlign w:val="center"/>
          </w:tcPr>
          <w:p>
            <w:pPr>
              <w:spacing w:line="280" w:lineRule="exact"/>
              <w:jc w:val="center"/>
              <w:rPr>
                <w:rFonts w:cs="Times New Roman"/>
                <w:sz w:val="18"/>
                <w:szCs w:val="18"/>
              </w:rPr>
            </w:pPr>
            <w:r>
              <w:rPr>
                <w:rFonts w:cs="Times New Roman"/>
                <w:sz w:val="18"/>
                <w:szCs w:val="18"/>
              </w:rPr>
              <w:t>子项</w:t>
            </w:r>
          </w:p>
        </w:tc>
        <w:tc>
          <w:tcPr>
            <w:tcW w:w="2937" w:type="dxa"/>
            <w:vAlign w:val="center"/>
          </w:tcPr>
          <w:p>
            <w:pPr>
              <w:spacing w:line="280" w:lineRule="exact"/>
              <w:jc w:val="center"/>
              <w:rPr>
                <w:rFonts w:cs="Times New Roman"/>
                <w:sz w:val="18"/>
                <w:szCs w:val="18"/>
              </w:rPr>
            </w:pPr>
            <w:r>
              <w:rPr>
                <w:rFonts w:cs="Times New Roman"/>
                <w:sz w:val="18"/>
                <w:szCs w:val="18"/>
              </w:rPr>
              <w:t>实施依据</w:t>
            </w:r>
          </w:p>
        </w:tc>
        <w:tc>
          <w:tcPr>
            <w:tcW w:w="2552" w:type="dxa"/>
            <w:vAlign w:val="center"/>
          </w:tcPr>
          <w:p>
            <w:pPr>
              <w:spacing w:line="280" w:lineRule="exact"/>
              <w:jc w:val="center"/>
              <w:rPr>
                <w:rFonts w:cs="Times New Roman"/>
                <w:sz w:val="18"/>
                <w:szCs w:val="18"/>
              </w:rPr>
            </w:pPr>
            <w:r>
              <w:rPr>
                <w:rFonts w:cs="Times New Roman"/>
                <w:sz w:val="18"/>
                <w:szCs w:val="18"/>
              </w:rPr>
              <w:t>责任事项</w:t>
            </w:r>
          </w:p>
        </w:tc>
        <w:tc>
          <w:tcPr>
            <w:tcW w:w="6812" w:type="dxa"/>
            <w:vAlign w:val="center"/>
          </w:tcPr>
          <w:p>
            <w:pPr>
              <w:spacing w:line="280" w:lineRule="exact"/>
              <w:jc w:val="center"/>
              <w:rPr>
                <w:rFonts w:cs="Times New Roman"/>
                <w:sz w:val="18"/>
                <w:szCs w:val="18"/>
              </w:rPr>
            </w:pPr>
            <w:r>
              <w:rPr>
                <w:rFonts w:cs="Times New Roman"/>
                <w:sz w:val="18"/>
                <w:szCs w:val="18"/>
              </w:rPr>
              <w:t>责任事项依据</w:t>
            </w:r>
          </w:p>
        </w:tc>
        <w:tc>
          <w:tcPr>
            <w:tcW w:w="1560"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4" w:hRule="atLeast"/>
          <w:jc w:val="center"/>
        </w:trPr>
        <w:tc>
          <w:tcPr>
            <w:tcW w:w="753" w:type="dxa"/>
            <w:vAlign w:val="center"/>
          </w:tcPr>
          <w:p>
            <w:pPr>
              <w:spacing w:line="240" w:lineRule="exact"/>
              <w:rPr>
                <w:rFonts w:cs="Times New Roman"/>
                <w:sz w:val="18"/>
                <w:szCs w:val="18"/>
              </w:rPr>
            </w:pPr>
            <w:r>
              <w:rPr>
                <w:rFonts w:hint="eastAsia" w:cs="Times New Roman"/>
                <w:sz w:val="18"/>
                <w:szCs w:val="18"/>
              </w:rPr>
              <w:t>43</w:t>
            </w:r>
          </w:p>
        </w:tc>
        <w:tc>
          <w:tcPr>
            <w:tcW w:w="702"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27" w:type="dxa"/>
            <w:vAlign w:val="center"/>
          </w:tcPr>
          <w:p>
            <w:pPr>
              <w:spacing w:line="240" w:lineRule="exact"/>
              <w:rPr>
                <w:rFonts w:cs="Times New Roman"/>
                <w:sz w:val="18"/>
                <w:szCs w:val="18"/>
              </w:rPr>
            </w:pPr>
            <w:r>
              <w:rPr>
                <w:rFonts w:cs="Times New Roman"/>
                <w:sz w:val="18"/>
                <w:szCs w:val="18"/>
              </w:rPr>
              <w:t>对森林防火区内的有关单位或者个人拒绝接受森林防火检查或者接到森林火灾隐患整改通知书逾期不消除火灾隐的处罚</w:t>
            </w:r>
          </w:p>
        </w:tc>
        <w:tc>
          <w:tcPr>
            <w:tcW w:w="788" w:type="dxa"/>
            <w:vAlign w:val="center"/>
          </w:tcPr>
          <w:p>
            <w:pPr>
              <w:spacing w:line="240" w:lineRule="exact"/>
              <w:rPr>
                <w:rFonts w:cs="Times New Roman"/>
                <w:sz w:val="18"/>
                <w:szCs w:val="18"/>
              </w:rPr>
            </w:pPr>
            <w:r>
              <w:rPr>
                <w:rFonts w:cs="Times New Roman"/>
                <w:sz w:val="18"/>
                <w:szCs w:val="18"/>
              </w:rPr>
              <w:t>　</w:t>
            </w:r>
          </w:p>
        </w:tc>
        <w:tc>
          <w:tcPr>
            <w:tcW w:w="2937" w:type="dxa"/>
            <w:vAlign w:val="center"/>
          </w:tcPr>
          <w:p>
            <w:pPr>
              <w:pStyle w:val="5"/>
              <w:shd w:val="clear" w:color="auto" w:fill="FFFFFF"/>
              <w:spacing w:before="0" w:beforeAutospacing="0" w:after="169" w:afterAutospacing="0" w:line="240" w:lineRule="exact"/>
              <w:ind w:firstLine="360" w:firstLineChars="200"/>
              <w:rPr>
                <w:rFonts w:cs="Times New Roman"/>
                <w:sz w:val="18"/>
                <w:szCs w:val="18"/>
              </w:rPr>
            </w:pPr>
            <w:r>
              <w:rPr>
                <w:rFonts w:cs="Times New Roman"/>
                <w:sz w:val="18"/>
                <w:szCs w:val="18"/>
              </w:rPr>
              <w:t>【法规】《森林防火条例》（1988年1月16日国务院公布，2008年12月1日</w:t>
            </w:r>
            <w:r>
              <w:rPr>
                <w:rFonts w:hint="eastAsia" w:cs="Times New Roman"/>
                <w:sz w:val="18"/>
                <w:szCs w:val="18"/>
              </w:rPr>
              <w:t>国务院541号令</w:t>
            </w:r>
            <w:r>
              <w:rPr>
                <w:rFonts w:cs="Times New Roman"/>
                <w:sz w:val="18"/>
                <w:szCs w:val="18"/>
              </w:rPr>
              <w:t>修改）</w:t>
            </w:r>
            <w:r>
              <w:rPr>
                <w:rFonts w:hint="eastAsia" w:cs="Times New Roman"/>
                <w:sz w:val="18"/>
                <w:szCs w:val="18"/>
              </w:rPr>
              <w:t xml:space="preserve">第四十九条 </w:t>
            </w:r>
            <w:r>
              <w:rPr>
                <w:rFonts w:cs="Times New Roman"/>
                <w:sz w:val="18"/>
                <w:szCs w:val="18"/>
              </w:rPr>
              <w:t>违反本条例规定，森林防火区内的有关单位或者个人拒绝接受森林防火检查或者接到森林火灾隐患整改通知书逾期不消除火灾隐患的，由县级以上地方人民政府林业主管部门责令改正，给予警告，对个人并处200元以上2000元以下罚款，对单位并处5000元以上1万元以下罚款。第五十三条　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p>
            <w:pPr>
              <w:spacing w:line="240" w:lineRule="exact"/>
              <w:ind w:firstLine="360" w:firstLineChars="200"/>
              <w:rPr>
                <w:color w:val="000000"/>
                <w:sz w:val="18"/>
                <w:szCs w:val="18"/>
              </w:rPr>
            </w:pPr>
          </w:p>
        </w:tc>
        <w:tc>
          <w:tcPr>
            <w:tcW w:w="2552"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812"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740"/>
        <w:gridCol w:w="808"/>
        <w:gridCol w:w="731"/>
        <w:gridCol w:w="2994"/>
        <w:gridCol w:w="2552"/>
        <w:gridCol w:w="6812"/>
        <w:gridCol w:w="1560"/>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734"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808" w:type="dxa"/>
            <w:vAlign w:val="center"/>
          </w:tcPr>
          <w:p>
            <w:pPr>
              <w:spacing w:line="280" w:lineRule="exact"/>
              <w:jc w:val="center"/>
              <w:rPr>
                <w:rFonts w:cs="Times New Roman"/>
                <w:sz w:val="18"/>
                <w:szCs w:val="18"/>
              </w:rPr>
            </w:pPr>
            <w:r>
              <w:rPr>
                <w:rFonts w:cs="Times New Roman"/>
                <w:sz w:val="18"/>
                <w:szCs w:val="18"/>
              </w:rPr>
              <w:t>项目名称</w:t>
            </w:r>
          </w:p>
        </w:tc>
        <w:tc>
          <w:tcPr>
            <w:tcW w:w="731" w:type="dxa"/>
            <w:vAlign w:val="center"/>
          </w:tcPr>
          <w:p>
            <w:pPr>
              <w:spacing w:line="280" w:lineRule="exact"/>
              <w:jc w:val="center"/>
              <w:rPr>
                <w:rFonts w:cs="Times New Roman"/>
                <w:sz w:val="18"/>
                <w:szCs w:val="18"/>
              </w:rPr>
            </w:pPr>
            <w:r>
              <w:rPr>
                <w:rFonts w:cs="Times New Roman"/>
                <w:sz w:val="18"/>
                <w:szCs w:val="18"/>
              </w:rPr>
              <w:t>子项</w:t>
            </w:r>
          </w:p>
        </w:tc>
        <w:tc>
          <w:tcPr>
            <w:tcW w:w="2994" w:type="dxa"/>
            <w:vAlign w:val="center"/>
          </w:tcPr>
          <w:p>
            <w:pPr>
              <w:spacing w:line="280" w:lineRule="exact"/>
              <w:jc w:val="center"/>
              <w:rPr>
                <w:rFonts w:cs="Times New Roman"/>
                <w:sz w:val="18"/>
                <w:szCs w:val="18"/>
              </w:rPr>
            </w:pPr>
            <w:r>
              <w:rPr>
                <w:rFonts w:cs="Times New Roman"/>
                <w:sz w:val="18"/>
                <w:szCs w:val="18"/>
              </w:rPr>
              <w:t>实施依据</w:t>
            </w:r>
          </w:p>
        </w:tc>
        <w:tc>
          <w:tcPr>
            <w:tcW w:w="2552" w:type="dxa"/>
            <w:vAlign w:val="center"/>
          </w:tcPr>
          <w:p>
            <w:pPr>
              <w:spacing w:line="280" w:lineRule="exact"/>
              <w:jc w:val="center"/>
              <w:rPr>
                <w:rFonts w:cs="Times New Roman"/>
                <w:sz w:val="18"/>
                <w:szCs w:val="18"/>
              </w:rPr>
            </w:pPr>
            <w:r>
              <w:rPr>
                <w:rFonts w:cs="Times New Roman"/>
                <w:sz w:val="18"/>
                <w:szCs w:val="18"/>
              </w:rPr>
              <w:t>责任事项</w:t>
            </w:r>
          </w:p>
        </w:tc>
        <w:tc>
          <w:tcPr>
            <w:tcW w:w="6812" w:type="dxa"/>
            <w:vAlign w:val="center"/>
          </w:tcPr>
          <w:p>
            <w:pPr>
              <w:spacing w:line="280" w:lineRule="exact"/>
              <w:jc w:val="center"/>
              <w:rPr>
                <w:rFonts w:cs="Times New Roman"/>
                <w:sz w:val="18"/>
                <w:szCs w:val="18"/>
              </w:rPr>
            </w:pPr>
            <w:r>
              <w:rPr>
                <w:rFonts w:cs="Times New Roman"/>
                <w:sz w:val="18"/>
                <w:szCs w:val="18"/>
              </w:rPr>
              <w:t>责任事项依据</w:t>
            </w:r>
          </w:p>
        </w:tc>
        <w:tc>
          <w:tcPr>
            <w:tcW w:w="1560"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440" w:hRule="atLeast"/>
          <w:jc w:val="center"/>
        </w:trPr>
        <w:tc>
          <w:tcPr>
            <w:tcW w:w="734" w:type="dxa"/>
            <w:vAlign w:val="center"/>
          </w:tcPr>
          <w:p>
            <w:pPr>
              <w:spacing w:line="240" w:lineRule="exact"/>
              <w:rPr>
                <w:rFonts w:cs="Times New Roman"/>
                <w:sz w:val="18"/>
                <w:szCs w:val="18"/>
              </w:rPr>
            </w:pPr>
            <w:r>
              <w:rPr>
                <w:rFonts w:hint="eastAsia" w:cs="Times New Roman"/>
                <w:sz w:val="18"/>
                <w:szCs w:val="18"/>
              </w:rPr>
              <w:t>44</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08" w:type="dxa"/>
            <w:vAlign w:val="center"/>
          </w:tcPr>
          <w:p>
            <w:pPr>
              <w:spacing w:line="240" w:lineRule="exact"/>
              <w:rPr>
                <w:rFonts w:cs="Times New Roman"/>
                <w:sz w:val="18"/>
                <w:szCs w:val="18"/>
              </w:rPr>
            </w:pPr>
            <w:r>
              <w:rPr>
                <w:rFonts w:cs="Times New Roman"/>
                <w:sz w:val="18"/>
                <w:szCs w:val="18"/>
              </w:rPr>
              <w:t>对在森林防火期内未经批准擅自在森林防火区内野外用火的</w:t>
            </w:r>
            <w:r>
              <w:rPr>
                <w:rFonts w:hint="eastAsia" w:cs="Times New Roman"/>
                <w:sz w:val="18"/>
                <w:szCs w:val="18"/>
              </w:rPr>
              <w:t>处罚</w:t>
            </w:r>
          </w:p>
        </w:tc>
        <w:tc>
          <w:tcPr>
            <w:tcW w:w="731" w:type="dxa"/>
            <w:vAlign w:val="center"/>
          </w:tcPr>
          <w:p>
            <w:pPr>
              <w:spacing w:line="240" w:lineRule="exact"/>
              <w:rPr>
                <w:rFonts w:cs="Times New Roman"/>
                <w:sz w:val="18"/>
                <w:szCs w:val="18"/>
              </w:rPr>
            </w:pPr>
            <w:r>
              <w:rPr>
                <w:rFonts w:cs="Times New Roman"/>
                <w:sz w:val="18"/>
                <w:szCs w:val="18"/>
              </w:rPr>
              <w:t>　</w:t>
            </w:r>
          </w:p>
        </w:tc>
        <w:tc>
          <w:tcPr>
            <w:tcW w:w="2994" w:type="dxa"/>
            <w:vAlign w:val="center"/>
          </w:tcPr>
          <w:p>
            <w:pPr>
              <w:pStyle w:val="5"/>
              <w:shd w:val="clear" w:color="auto" w:fill="FFFFFF"/>
              <w:spacing w:before="0" w:beforeAutospacing="0" w:after="169" w:afterAutospacing="0" w:line="240" w:lineRule="exact"/>
              <w:ind w:firstLine="360" w:firstLineChars="200"/>
              <w:rPr>
                <w:rFonts w:cs="Times New Roman"/>
                <w:sz w:val="18"/>
                <w:szCs w:val="18"/>
              </w:rPr>
            </w:pPr>
            <w:r>
              <w:rPr>
                <w:rFonts w:cs="Times New Roman"/>
                <w:sz w:val="18"/>
                <w:szCs w:val="18"/>
              </w:rPr>
              <w:t>【法规】《森林防火条例》（1988年1月16日国务院公布，2008年12月1日</w:t>
            </w:r>
            <w:r>
              <w:rPr>
                <w:rFonts w:hint="eastAsia" w:cs="Times New Roman"/>
                <w:sz w:val="18"/>
                <w:szCs w:val="18"/>
              </w:rPr>
              <w:t>国务院541号令</w:t>
            </w:r>
            <w:r>
              <w:rPr>
                <w:rFonts w:cs="Times New Roman"/>
                <w:sz w:val="18"/>
                <w:szCs w:val="18"/>
              </w:rPr>
              <w:t>修改）第五十条　违反本条例规定，森林防火期内未经批准擅自在森林防火区内野外用火的，由县级以上地方人民政府林业主管部门责令停止违法行为，给予警告，对个人并处200元以上3000元以下罚款，对单位并处1万元以上5万元以下罚款。第五十三条　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p>
            <w:pPr>
              <w:spacing w:line="240" w:lineRule="exact"/>
              <w:ind w:firstLine="360" w:firstLineChars="200"/>
              <w:rPr>
                <w:color w:val="000000"/>
                <w:sz w:val="18"/>
                <w:szCs w:val="18"/>
              </w:rPr>
            </w:pPr>
          </w:p>
        </w:tc>
        <w:tc>
          <w:tcPr>
            <w:tcW w:w="2552"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812"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759"/>
        <w:gridCol w:w="808"/>
        <w:gridCol w:w="750"/>
        <w:gridCol w:w="2975"/>
        <w:gridCol w:w="2552"/>
        <w:gridCol w:w="6812"/>
        <w:gridCol w:w="1560"/>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jc w:val="center"/>
        </w:trPr>
        <w:tc>
          <w:tcPr>
            <w:tcW w:w="715" w:type="dxa"/>
            <w:vAlign w:val="center"/>
          </w:tcPr>
          <w:p>
            <w:pPr>
              <w:spacing w:line="280" w:lineRule="exact"/>
              <w:jc w:val="center"/>
              <w:rPr>
                <w:rFonts w:cs="Times New Roman"/>
                <w:sz w:val="18"/>
                <w:szCs w:val="18"/>
              </w:rPr>
            </w:pPr>
            <w:r>
              <w:rPr>
                <w:rFonts w:cs="Times New Roman"/>
                <w:sz w:val="18"/>
                <w:szCs w:val="18"/>
              </w:rPr>
              <w:t>序号</w:t>
            </w:r>
          </w:p>
        </w:tc>
        <w:tc>
          <w:tcPr>
            <w:tcW w:w="759" w:type="dxa"/>
            <w:vAlign w:val="center"/>
          </w:tcPr>
          <w:p>
            <w:pPr>
              <w:spacing w:line="280" w:lineRule="exact"/>
              <w:jc w:val="center"/>
              <w:rPr>
                <w:rFonts w:cs="Times New Roman"/>
                <w:sz w:val="18"/>
                <w:szCs w:val="18"/>
              </w:rPr>
            </w:pPr>
            <w:r>
              <w:rPr>
                <w:rFonts w:cs="Times New Roman"/>
                <w:sz w:val="18"/>
                <w:szCs w:val="18"/>
              </w:rPr>
              <w:t>权力分类</w:t>
            </w:r>
          </w:p>
        </w:tc>
        <w:tc>
          <w:tcPr>
            <w:tcW w:w="808" w:type="dxa"/>
            <w:vAlign w:val="center"/>
          </w:tcPr>
          <w:p>
            <w:pPr>
              <w:spacing w:line="280" w:lineRule="exact"/>
              <w:jc w:val="center"/>
              <w:rPr>
                <w:rFonts w:cs="Times New Roman"/>
                <w:sz w:val="18"/>
                <w:szCs w:val="18"/>
              </w:rPr>
            </w:pPr>
            <w:r>
              <w:rPr>
                <w:rFonts w:cs="Times New Roman"/>
                <w:sz w:val="18"/>
                <w:szCs w:val="18"/>
              </w:rPr>
              <w:t>项目名称</w:t>
            </w:r>
          </w:p>
        </w:tc>
        <w:tc>
          <w:tcPr>
            <w:tcW w:w="750" w:type="dxa"/>
            <w:vAlign w:val="center"/>
          </w:tcPr>
          <w:p>
            <w:pPr>
              <w:spacing w:line="280" w:lineRule="exact"/>
              <w:jc w:val="center"/>
              <w:rPr>
                <w:rFonts w:cs="Times New Roman"/>
                <w:sz w:val="18"/>
                <w:szCs w:val="18"/>
              </w:rPr>
            </w:pPr>
            <w:r>
              <w:rPr>
                <w:rFonts w:cs="Times New Roman"/>
                <w:sz w:val="18"/>
                <w:szCs w:val="18"/>
              </w:rPr>
              <w:t>子项</w:t>
            </w:r>
          </w:p>
        </w:tc>
        <w:tc>
          <w:tcPr>
            <w:tcW w:w="2975" w:type="dxa"/>
            <w:vAlign w:val="center"/>
          </w:tcPr>
          <w:p>
            <w:pPr>
              <w:spacing w:line="280" w:lineRule="exact"/>
              <w:jc w:val="center"/>
              <w:rPr>
                <w:rFonts w:cs="Times New Roman"/>
                <w:sz w:val="18"/>
                <w:szCs w:val="18"/>
              </w:rPr>
            </w:pPr>
            <w:r>
              <w:rPr>
                <w:rFonts w:cs="Times New Roman"/>
                <w:sz w:val="18"/>
                <w:szCs w:val="18"/>
              </w:rPr>
              <w:t>实施依据</w:t>
            </w:r>
          </w:p>
        </w:tc>
        <w:tc>
          <w:tcPr>
            <w:tcW w:w="2552" w:type="dxa"/>
            <w:vAlign w:val="center"/>
          </w:tcPr>
          <w:p>
            <w:pPr>
              <w:spacing w:line="280" w:lineRule="exact"/>
              <w:jc w:val="center"/>
              <w:rPr>
                <w:rFonts w:cs="Times New Roman"/>
                <w:sz w:val="18"/>
                <w:szCs w:val="18"/>
              </w:rPr>
            </w:pPr>
            <w:r>
              <w:rPr>
                <w:rFonts w:cs="Times New Roman"/>
                <w:sz w:val="18"/>
                <w:szCs w:val="18"/>
              </w:rPr>
              <w:t>责任事项</w:t>
            </w:r>
          </w:p>
        </w:tc>
        <w:tc>
          <w:tcPr>
            <w:tcW w:w="6812" w:type="dxa"/>
            <w:vAlign w:val="center"/>
          </w:tcPr>
          <w:p>
            <w:pPr>
              <w:spacing w:line="280" w:lineRule="exact"/>
              <w:jc w:val="center"/>
              <w:rPr>
                <w:rFonts w:cs="Times New Roman"/>
                <w:sz w:val="18"/>
                <w:szCs w:val="18"/>
              </w:rPr>
            </w:pPr>
            <w:r>
              <w:rPr>
                <w:rFonts w:cs="Times New Roman"/>
                <w:sz w:val="18"/>
                <w:szCs w:val="18"/>
              </w:rPr>
              <w:t>责任事项依据</w:t>
            </w:r>
          </w:p>
        </w:tc>
        <w:tc>
          <w:tcPr>
            <w:tcW w:w="1560"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3" w:hRule="atLeast"/>
          <w:jc w:val="center"/>
        </w:trPr>
        <w:tc>
          <w:tcPr>
            <w:tcW w:w="715" w:type="dxa"/>
            <w:vAlign w:val="center"/>
          </w:tcPr>
          <w:p>
            <w:pPr>
              <w:spacing w:line="240" w:lineRule="exact"/>
              <w:rPr>
                <w:rFonts w:cs="Times New Roman"/>
                <w:sz w:val="18"/>
                <w:szCs w:val="18"/>
              </w:rPr>
            </w:pPr>
            <w:r>
              <w:rPr>
                <w:rFonts w:hint="eastAsia" w:cs="Times New Roman"/>
                <w:sz w:val="18"/>
                <w:szCs w:val="18"/>
              </w:rPr>
              <w:t>45</w:t>
            </w:r>
          </w:p>
        </w:tc>
        <w:tc>
          <w:tcPr>
            <w:tcW w:w="759"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08" w:type="dxa"/>
            <w:vAlign w:val="center"/>
          </w:tcPr>
          <w:p>
            <w:pPr>
              <w:spacing w:line="240" w:lineRule="exact"/>
              <w:rPr>
                <w:rFonts w:cs="Times New Roman"/>
                <w:sz w:val="18"/>
                <w:szCs w:val="18"/>
              </w:rPr>
            </w:pPr>
            <w:r>
              <w:rPr>
                <w:rFonts w:cs="Times New Roman"/>
                <w:sz w:val="18"/>
                <w:szCs w:val="18"/>
              </w:rPr>
              <w:t>对森林防火期内未经批准在森林防火区内进行实弹演习、爆破等活动的处罚</w:t>
            </w:r>
          </w:p>
        </w:tc>
        <w:tc>
          <w:tcPr>
            <w:tcW w:w="750" w:type="dxa"/>
            <w:vAlign w:val="center"/>
          </w:tcPr>
          <w:p>
            <w:pPr>
              <w:spacing w:line="240" w:lineRule="exact"/>
              <w:rPr>
                <w:rFonts w:cs="Times New Roman"/>
                <w:sz w:val="18"/>
                <w:szCs w:val="18"/>
              </w:rPr>
            </w:pPr>
            <w:r>
              <w:rPr>
                <w:rFonts w:cs="Times New Roman"/>
                <w:sz w:val="18"/>
                <w:szCs w:val="18"/>
              </w:rPr>
              <w:t>　</w:t>
            </w:r>
          </w:p>
        </w:tc>
        <w:tc>
          <w:tcPr>
            <w:tcW w:w="2975" w:type="dxa"/>
            <w:vAlign w:val="center"/>
          </w:tcPr>
          <w:p>
            <w:pPr>
              <w:pStyle w:val="5"/>
              <w:shd w:val="clear" w:color="auto" w:fill="FFFFFF"/>
              <w:spacing w:before="0" w:beforeAutospacing="0" w:after="169" w:afterAutospacing="0" w:line="240" w:lineRule="exact"/>
              <w:ind w:firstLine="360" w:firstLineChars="200"/>
              <w:rPr>
                <w:rFonts w:cs="Times New Roman"/>
                <w:sz w:val="18"/>
                <w:szCs w:val="18"/>
              </w:rPr>
            </w:pPr>
            <w:r>
              <w:rPr>
                <w:rFonts w:cs="Times New Roman"/>
                <w:sz w:val="18"/>
                <w:szCs w:val="18"/>
              </w:rPr>
              <w:t>【法规】《森林防火条例》（1988年1月16日国务院公布，2008年12月1日</w:t>
            </w:r>
            <w:r>
              <w:rPr>
                <w:rFonts w:hint="eastAsia" w:cs="Times New Roman"/>
                <w:sz w:val="18"/>
                <w:szCs w:val="18"/>
              </w:rPr>
              <w:t>国务院541号令</w:t>
            </w:r>
            <w:r>
              <w:rPr>
                <w:rFonts w:cs="Times New Roman"/>
                <w:sz w:val="18"/>
                <w:szCs w:val="18"/>
              </w:rPr>
              <w:t>修改）第五十一条违反本条例规定，森林防火期内未经批准在森林防火区内进行实弹演习、爆破等活动的，由县级以上地方人民政府林业主管部门责令停止违法行为，给予警告，并处5万元以上10万元以下罚款。第五十三条　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p>
            <w:pPr>
              <w:spacing w:line="240" w:lineRule="exact"/>
              <w:ind w:firstLine="360" w:firstLineChars="200"/>
              <w:rPr>
                <w:color w:val="000000"/>
                <w:sz w:val="18"/>
                <w:szCs w:val="18"/>
              </w:rPr>
            </w:pPr>
          </w:p>
        </w:tc>
        <w:tc>
          <w:tcPr>
            <w:tcW w:w="2552"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812"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757"/>
        <w:gridCol w:w="740"/>
        <w:gridCol w:w="871"/>
        <w:gridCol w:w="2841"/>
        <w:gridCol w:w="2546"/>
        <w:gridCol w:w="6794"/>
        <w:gridCol w:w="1555"/>
        <w:gridCol w:w="4665"/>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81" w:type="dxa"/>
            <w:vAlign w:val="center"/>
          </w:tcPr>
          <w:p>
            <w:pPr>
              <w:spacing w:line="280" w:lineRule="exact"/>
              <w:jc w:val="center"/>
              <w:rPr>
                <w:rFonts w:cs="Times New Roman"/>
                <w:sz w:val="18"/>
                <w:szCs w:val="18"/>
              </w:rPr>
            </w:pPr>
            <w:r>
              <w:rPr>
                <w:rFonts w:cs="Times New Roman"/>
                <w:sz w:val="18"/>
                <w:szCs w:val="18"/>
              </w:rPr>
              <w:t>序号</w:t>
            </w:r>
          </w:p>
        </w:tc>
        <w:tc>
          <w:tcPr>
            <w:tcW w:w="757" w:type="dxa"/>
            <w:vAlign w:val="center"/>
          </w:tcPr>
          <w:p>
            <w:pPr>
              <w:spacing w:line="280" w:lineRule="exact"/>
              <w:jc w:val="center"/>
              <w:rPr>
                <w:rFonts w:cs="Times New Roman"/>
                <w:sz w:val="18"/>
                <w:szCs w:val="18"/>
              </w:rPr>
            </w:pPr>
            <w:r>
              <w:rPr>
                <w:rFonts w:cs="Times New Roman"/>
                <w:sz w:val="18"/>
                <w:szCs w:val="18"/>
              </w:rPr>
              <w:t>权力分类</w:t>
            </w:r>
          </w:p>
        </w:tc>
        <w:tc>
          <w:tcPr>
            <w:tcW w:w="740" w:type="dxa"/>
            <w:vAlign w:val="center"/>
          </w:tcPr>
          <w:p>
            <w:pPr>
              <w:spacing w:line="280" w:lineRule="exact"/>
              <w:jc w:val="center"/>
              <w:rPr>
                <w:rFonts w:cs="Times New Roman"/>
                <w:sz w:val="18"/>
                <w:szCs w:val="18"/>
              </w:rPr>
            </w:pPr>
            <w:r>
              <w:rPr>
                <w:rFonts w:cs="Times New Roman"/>
                <w:sz w:val="18"/>
                <w:szCs w:val="18"/>
              </w:rPr>
              <w:t>项目名称</w:t>
            </w:r>
          </w:p>
        </w:tc>
        <w:tc>
          <w:tcPr>
            <w:tcW w:w="871" w:type="dxa"/>
            <w:vAlign w:val="center"/>
          </w:tcPr>
          <w:p>
            <w:pPr>
              <w:spacing w:line="280" w:lineRule="exact"/>
              <w:jc w:val="center"/>
              <w:rPr>
                <w:rFonts w:cs="Times New Roman"/>
                <w:sz w:val="18"/>
                <w:szCs w:val="18"/>
              </w:rPr>
            </w:pPr>
            <w:r>
              <w:rPr>
                <w:rFonts w:cs="Times New Roman"/>
                <w:sz w:val="18"/>
                <w:szCs w:val="18"/>
              </w:rPr>
              <w:t>子项</w:t>
            </w:r>
          </w:p>
        </w:tc>
        <w:tc>
          <w:tcPr>
            <w:tcW w:w="2841" w:type="dxa"/>
            <w:vAlign w:val="center"/>
          </w:tcPr>
          <w:p>
            <w:pPr>
              <w:spacing w:line="280" w:lineRule="exact"/>
              <w:jc w:val="center"/>
              <w:rPr>
                <w:rFonts w:cs="Times New Roman"/>
                <w:sz w:val="18"/>
                <w:szCs w:val="18"/>
              </w:rPr>
            </w:pPr>
            <w:r>
              <w:rPr>
                <w:rFonts w:cs="Times New Roman"/>
                <w:sz w:val="18"/>
                <w:szCs w:val="18"/>
              </w:rPr>
              <w:t>实施依据</w:t>
            </w:r>
          </w:p>
        </w:tc>
        <w:tc>
          <w:tcPr>
            <w:tcW w:w="2546" w:type="dxa"/>
            <w:vAlign w:val="center"/>
          </w:tcPr>
          <w:p>
            <w:pPr>
              <w:spacing w:line="280" w:lineRule="exact"/>
              <w:jc w:val="center"/>
              <w:rPr>
                <w:rFonts w:cs="Times New Roman"/>
                <w:sz w:val="18"/>
                <w:szCs w:val="18"/>
              </w:rPr>
            </w:pPr>
            <w:r>
              <w:rPr>
                <w:rFonts w:cs="Times New Roman"/>
                <w:sz w:val="18"/>
                <w:szCs w:val="18"/>
              </w:rPr>
              <w:t>责任事项</w:t>
            </w:r>
          </w:p>
        </w:tc>
        <w:tc>
          <w:tcPr>
            <w:tcW w:w="6794" w:type="dxa"/>
            <w:vAlign w:val="center"/>
          </w:tcPr>
          <w:p>
            <w:pPr>
              <w:spacing w:line="280" w:lineRule="exact"/>
              <w:jc w:val="center"/>
              <w:rPr>
                <w:rFonts w:cs="Times New Roman"/>
                <w:sz w:val="18"/>
                <w:szCs w:val="18"/>
              </w:rPr>
            </w:pPr>
            <w:r>
              <w:rPr>
                <w:rFonts w:cs="Times New Roman"/>
                <w:sz w:val="18"/>
                <w:szCs w:val="18"/>
              </w:rPr>
              <w:t>责任事项依据</w:t>
            </w:r>
          </w:p>
        </w:tc>
        <w:tc>
          <w:tcPr>
            <w:tcW w:w="1555" w:type="dxa"/>
            <w:vAlign w:val="center"/>
          </w:tcPr>
          <w:p>
            <w:pPr>
              <w:spacing w:line="280" w:lineRule="exact"/>
              <w:jc w:val="center"/>
              <w:rPr>
                <w:rFonts w:cs="Times New Roman"/>
                <w:sz w:val="18"/>
                <w:szCs w:val="18"/>
              </w:rPr>
            </w:pPr>
            <w:r>
              <w:rPr>
                <w:rFonts w:cs="Times New Roman"/>
                <w:sz w:val="18"/>
                <w:szCs w:val="18"/>
              </w:rPr>
              <w:t>追责情形</w:t>
            </w:r>
          </w:p>
        </w:tc>
        <w:tc>
          <w:tcPr>
            <w:tcW w:w="4665"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8" w:hRule="atLeast"/>
          <w:jc w:val="center"/>
        </w:trPr>
        <w:tc>
          <w:tcPr>
            <w:tcW w:w="781" w:type="dxa"/>
            <w:vAlign w:val="center"/>
          </w:tcPr>
          <w:p>
            <w:pPr>
              <w:spacing w:line="240" w:lineRule="exact"/>
              <w:rPr>
                <w:rFonts w:cs="Times New Roman"/>
                <w:sz w:val="18"/>
                <w:szCs w:val="18"/>
              </w:rPr>
            </w:pPr>
            <w:r>
              <w:rPr>
                <w:rFonts w:hint="eastAsia" w:cs="Times New Roman"/>
                <w:sz w:val="18"/>
                <w:szCs w:val="18"/>
              </w:rPr>
              <w:t>46</w:t>
            </w:r>
          </w:p>
        </w:tc>
        <w:tc>
          <w:tcPr>
            <w:tcW w:w="757"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40" w:type="dxa"/>
            <w:vAlign w:val="center"/>
          </w:tcPr>
          <w:p>
            <w:pPr>
              <w:spacing w:line="240" w:lineRule="exact"/>
              <w:rPr>
                <w:rFonts w:cs="Times New Roman"/>
                <w:sz w:val="18"/>
                <w:szCs w:val="18"/>
              </w:rPr>
            </w:pPr>
            <w:r>
              <w:rPr>
                <w:rFonts w:hint="eastAsia" w:cs="Times New Roman"/>
                <w:sz w:val="18"/>
                <w:szCs w:val="18"/>
              </w:rPr>
              <w:t>对</w:t>
            </w:r>
            <w:r>
              <w:rPr>
                <w:rFonts w:cs="Times New Roman"/>
                <w:sz w:val="18"/>
                <w:szCs w:val="18"/>
              </w:rPr>
              <w:t>森林防火期内，森林、林木、林地的经营单位未设置森林防火警示宣传标志</w:t>
            </w:r>
            <w:r>
              <w:rPr>
                <w:rFonts w:hint="eastAsia" w:cs="Times New Roman"/>
                <w:sz w:val="18"/>
                <w:szCs w:val="18"/>
              </w:rPr>
              <w:t>等行为的处罚</w:t>
            </w:r>
          </w:p>
        </w:tc>
        <w:tc>
          <w:tcPr>
            <w:tcW w:w="871" w:type="dxa"/>
            <w:vAlign w:val="center"/>
          </w:tcPr>
          <w:p>
            <w:pPr>
              <w:spacing w:line="240" w:lineRule="exact"/>
              <w:rPr>
                <w:rFonts w:cs="Times New Roman"/>
                <w:sz w:val="18"/>
                <w:szCs w:val="18"/>
              </w:rPr>
            </w:pPr>
            <w:r>
              <w:rPr>
                <w:rFonts w:cs="Times New Roman"/>
                <w:sz w:val="18"/>
                <w:szCs w:val="18"/>
              </w:rPr>
              <w:t>　</w:t>
            </w:r>
          </w:p>
        </w:tc>
        <w:tc>
          <w:tcPr>
            <w:tcW w:w="2841" w:type="dxa"/>
            <w:vAlign w:val="center"/>
          </w:tcPr>
          <w:p>
            <w:pPr>
              <w:pStyle w:val="5"/>
              <w:shd w:val="clear" w:color="auto" w:fill="FFFFFF"/>
              <w:spacing w:before="0" w:beforeAutospacing="0" w:after="169" w:afterAutospacing="0" w:line="240" w:lineRule="exact"/>
              <w:ind w:firstLine="360" w:firstLineChars="200"/>
              <w:rPr>
                <w:rFonts w:cs="Times New Roman"/>
                <w:sz w:val="18"/>
                <w:szCs w:val="18"/>
              </w:rPr>
            </w:pPr>
            <w:r>
              <w:rPr>
                <w:rFonts w:cs="Times New Roman"/>
                <w:sz w:val="18"/>
                <w:szCs w:val="18"/>
              </w:rPr>
              <w:t>【法规】《森林防火条例》（1988年1月16日国务院公布，2008年12月1日</w:t>
            </w:r>
            <w:r>
              <w:rPr>
                <w:rFonts w:hint="eastAsia" w:cs="Times New Roman"/>
                <w:sz w:val="18"/>
                <w:szCs w:val="18"/>
              </w:rPr>
              <w:t>国务院541号令</w:t>
            </w:r>
            <w:r>
              <w:rPr>
                <w:rFonts w:cs="Times New Roman"/>
                <w:sz w:val="18"/>
                <w:szCs w:val="18"/>
              </w:rPr>
              <w:t>修改）第五十二条　违反本条例规定，有下列行为之一的，由县级以上地方人民政府林业主管部门责令改正，给予警告，对个人并处200元以上2000元以下罚款，对单位并处2000元以上5000元以下罚款： (一)森林防火期内，森林、林木、林地的经营单位未设置森林防火警示宣传标志的</w:t>
            </w:r>
            <w:r>
              <w:rPr>
                <w:rFonts w:hint="eastAsia" w:cs="Times New Roman"/>
                <w:sz w:val="18"/>
                <w:szCs w:val="18"/>
              </w:rPr>
              <w:t>；</w:t>
            </w:r>
            <w:r>
              <w:rPr>
                <w:rFonts w:cs="Times New Roman"/>
                <w:sz w:val="18"/>
                <w:szCs w:val="18"/>
              </w:rPr>
              <w:t>　　(二)森林防火期内，进入森林防火区的机动车辆未安装森林防火装置的</w:t>
            </w:r>
            <w:r>
              <w:rPr>
                <w:rFonts w:hint="eastAsia" w:cs="Times New Roman"/>
                <w:sz w:val="18"/>
                <w:szCs w:val="18"/>
              </w:rPr>
              <w:t>；</w:t>
            </w:r>
            <w:r>
              <w:rPr>
                <w:rFonts w:cs="Times New Roman"/>
                <w:sz w:val="18"/>
                <w:szCs w:val="18"/>
              </w:rPr>
              <w:t xml:space="preserve"> (三)森林高火险期内，未经批准擅自进入森林高火险区活动的。第五十三条　违反本条例规定，造成森林火灾，构成犯罪的，依法追究刑事责任</w:t>
            </w:r>
            <w:r>
              <w:rPr>
                <w:rFonts w:hint="eastAsia" w:cs="Times New Roman"/>
                <w:sz w:val="18"/>
                <w:szCs w:val="18"/>
              </w:rPr>
              <w:t>；</w:t>
            </w:r>
            <w:r>
              <w:rPr>
                <w:rFonts w:cs="Times New Roman"/>
                <w:sz w:val="18"/>
                <w:szCs w:val="18"/>
              </w:rPr>
              <w:t>尚不构成犯罪的，除依照本条例第四十八条、第四十九条、第五十条、第五十一条、第五十二条的规定追究法律责任外，县级以上地方人民政府林业主管部门可以责令责任人补种树木。</w:t>
            </w:r>
          </w:p>
          <w:p>
            <w:pPr>
              <w:spacing w:line="240" w:lineRule="exact"/>
              <w:ind w:firstLine="360" w:firstLineChars="200"/>
              <w:rPr>
                <w:color w:val="000000"/>
                <w:sz w:val="18"/>
                <w:szCs w:val="18"/>
              </w:rPr>
            </w:pPr>
          </w:p>
        </w:tc>
        <w:tc>
          <w:tcPr>
            <w:tcW w:w="2546"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794"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5"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65"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38"/>
        <w:gridCol w:w="854"/>
        <w:gridCol w:w="834"/>
        <w:gridCol w:w="2818"/>
        <w:gridCol w:w="2547"/>
        <w:gridCol w:w="6801"/>
        <w:gridCol w:w="1556"/>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752" w:type="dxa"/>
            <w:vAlign w:val="center"/>
          </w:tcPr>
          <w:p>
            <w:pPr>
              <w:spacing w:line="280" w:lineRule="exact"/>
              <w:jc w:val="center"/>
              <w:rPr>
                <w:rFonts w:cs="Times New Roman"/>
                <w:sz w:val="18"/>
                <w:szCs w:val="18"/>
              </w:rPr>
            </w:pPr>
            <w:r>
              <w:rPr>
                <w:rFonts w:cs="Times New Roman"/>
                <w:sz w:val="18"/>
                <w:szCs w:val="18"/>
              </w:rPr>
              <w:t>序号</w:t>
            </w:r>
          </w:p>
        </w:tc>
        <w:tc>
          <w:tcPr>
            <w:tcW w:w="738" w:type="dxa"/>
            <w:vAlign w:val="center"/>
          </w:tcPr>
          <w:p>
            <w:pPr>
              <w:spacing w:line="280" w:lineRule="exact"/>
              <w:jc w:val="center"/>
              <w:rPr>
                <w:rFonts w:cs="Times New Roman"/>
                <w:sz w:val="18"/>
                <w:szCs w:val="18"/>
              </w:rPr>
            </w:pPr>
            <w:r>
              <w:rPr>
                <w:rFonts w:cs="Times New Roman"/>
                <w:sz w:val="18"/>
                <w:szCs w:val="18"/>
              </w:rPr>
              <w:t>权力分类</w:t>
            </w:r>
          </w:p>
        </w:tc>
        <w:tc>
          <w:tcPr>
            <w:tcW w:w="854" w:type="dxa"/>
            <w:vAlign w:val="center"/>
          </w:tcPr>
          <w:p>
            <w:pPr>
              <w:spacing w:line="280" w:lineRule="exact"/>
              <w:jc w:val="center"/>
              <w:rPr>
                <w:rFonts w:cs="Times New Roman"/>
                <w:sz w:val="18"/>
                <w:szCs w:val="18"/>
              </w:rPr>
            </w:pPr>
            <w:r>
              <w:rPr>
                <w:rFonts w:cs="Times New Roman"/>
                <w:sz w:val="18"/>
                <w:szCs w:val="18"/>
              </w:rPr>
              <w:t>项目名称</w:t>
            </w:r>
          </w:p>
        </w:tc>
        <w:tc>
          <w:tcPr>
            <w:tcW w:w="834" w:type="dxa"/>
            <w:vAlign w:val="center"/>
          </w:tcPr>
          <w:p>
            <w:pPr>
              <w:spacing w:line="280" w:lineRule="exact"/>
              <w:jc w:val="center"/>
              <w:rPr>
                <w:rFonts w:cs="Times New Roman"/>
                <w:sz w:val="18"/>
                <w:szCs w:val="18"/>
              </w:rPr>
            </w:pPr>
            <w:r>
              <w:rPr>
                <w:rFonts w:cs="Times New Roman"/>
                <w:sz w:val="18"/>
                <w:szCs w:val="18"/>
              </w:rPr>
              <w:t>子项</w:t>
            </w:r>
          </w:p>
        </w:tc>
        <w:tc>
          <w:tcPr>
            <w:tcW w:w="2818" w:type="dxa"/>
            <w:vAlign w:val="center"/>
          </w:tcPr>
          <w:p>
            <w:pPr>
              <w:spacing w:line="280" w:lineRule="exact"/>
              <w:jc w:val="center"/>
              <w:rPr>
                <w:rFonts w:cs="Times New Roman"/>
                <w:sz w:val="18"/>
                <w:szCs w:val="18"/>
              </w:rPr>
            </w:pPr>
            <w:r>
              <w:rPr>
                <w:rFonts w:cs="Times New Roman"/>
                <w:sz w:val="18"/>
                <w:szCs w:val="18"/>
              </w:rPr>
              <w:t>实施依据</w:t>
            </w:r>
          </w:p>
        </w:tc>
        <w:tc>
          <w:tcPr>
            <w:tcW w:w="2547" w:type="dxa"/>
            <w:vAlign w:val="center"/>
          </w:tcPr>
          <w:p>
            <w:pPr>
              <w:spacing w:line="280" w:lineRule="exact"/>
              <w:jc w:val="center"/>
              <w:rPr>
                <w:rFonts w:cs="Times New Roman"/>
                <w:sz w:val="18"/>
                <w:szCs w:val="18"/>
              </w:rPr>
            </w:pPr>
            <w:r>
              <w:rPr>
                <w:rFonts w:cs="Times New Roman"/>
                <w:sz w:val="18"/>
                <w:szCs w:val="18"/>
              </w:rPr>
              <w:t>责任事项</w:t>
            </w:r>
          </w:p>
        </w:tc>
        <w:tc>
          <w:tcPr>
            <w:tcW w:w="6801" w:type="dxa"/>
            <w:vAlign w:val="center"/>
          </w:tcPr>
          <w:p>
            <w:pPr>
              <w:spacing w:line="280" w:lineRule="exact"/>
              <w:jc w:val="center"/>
              <w:rPr>
                <w:rFonts w:cs="Times New Roman"/>
                <w:sz w:val="18"/>
                <w:szCs w:val="18"/>
              </w:rPr>
            </w:pPr>
            <w:r>
              <w:rPr>
                <w:rFonts w:cs="Times New Roman"/>
                <w:sz w:val="18"/>
                <w:szCs w:val="18"/>
              </w:rPr>
              <w:t>责任事项依据</w:t>
            </w:r>
          </w:p>
        </w:tc>
        <w:tc>
          <w:tcPr>
            <w:tcW w:w="1556"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0" w:hRule="atLeast"/>
          <w:jc w:val="center"/>
        </w:trPr>
        <w:tc>
          <w:tcPr>
            <w:tcW w:w="752" w:type="dxa"/>
            <w:vAlign w:val="center"/>
          </w:tcPr>
          <w:p>
            <w:pPr>
              <w:spacing w:line="240" w:lineRule="exact"/>
              <w:rPr>
                <w:rFonts w:cs="Times New Roman"/>
                <w:sz w:val="18"/>
                <w:szCs w:val="18"/>
              </w:rPr>
            </w:pPr>
            <w:r>
              <w:rPr>
                <w:rFonts w:hint="eastAsia" w:cs="Times New Roman"/>
                <w:sz w:val="18"/>
                <w:szCs w:val="18"/>
              </w:rPr>
              <w:t>47</w:t>
            </w:r>
          </w:p>
        </w:tc>
        <w:tc>
          <w:tcPr>
            <w:tcW w:w="738"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54" w:type="dxa"/>
            <w:vAlign w:val="center"/>
          </w:tcPr>
          <w:p>
            <w:pPr>
              <w:spacing w:line="240" w:lineRule="exact"/>
              <w:rPr>
                <w:rFonts w:cs="Times New Roman"/>
                <w:sz w:val="18"/>
                <w:szCs w:val="18"/>
              </w:rPr>
            </w:pPr>
            <w:r>
              <w:rPr>
                <w:rFonts w:cs="Times New Roman"/>
                <w:sz w:val="18"/>
                <w:szCs w:val="18"/>
              </w:rPr>
              <w:t>对破坏、挪用、拆除、侵占森林防火设施或堵塞森林防火通道、阻碍开设森林防火隔离带的处罚</w:t>
            </w:r>
          </w:p>
        </w:tc>
        <w:tc>
          <w:tcPr>
            <w:tcW w:w="834" w:type="dxa"/>
            <w:vAlign w:val="center"/>
          </w:tcPr>
          <w:p>
            <w:pPr>
              <w:spacing w:line="240" w:lineRule="exact"/>
              <w:rPr>
                <w:rFonts w:cs="Times New Roman"/>
                <w:sz w:val="18"/>
                <w:szCs w:val="18"/>
              </w:rPr>
            </w:pPr>
            <w:r>
              <w:rPr>
                <w:rFonts w:cs="Times New Roman"/>
                <w:sz w:val="18"/>
                <w:szCs w:val="18"/>
              </w:rPr>
              <w:t>　</w:t>
            </w:r>
          </w:p>
        </w:tc>
        <w:tc>
          <w:tcPr>
            <w:tcW w:w="2818" w:type="dxa"/>
            <w:vAlign w:val="center"/>
          </w:tcPr>
          <w:p>
            <w:pPr>
              <w:pStyle w:val="5"/>
              <w:shd w:val="clear" w:color="auto" w:fill="FFFFFF"/>
              <w:spacing w:before="0" w:beforeAutospacing="0" w:after="169" w:afterAutospacing="0" w:line="240" w:lineRule="exact"/>
              <w:ind w:firstLine="360" w:firstLineChars="200"/>
              <w:rPr>
                <w:rFonts w:cs="Times New Roman"/>
                <w:sz w:val="18"/>
                <w:szCs w:val="18"/>
              </w:rPr>
            </w:pPr>
            <w:r>
              <w:rPr>
                <w:rFonts w:cs="Times New Roman"/>
                <w:sz w:val="18"/>
                <w:szCs w:val="18"/>
              </w:rPr>
              <w:t>【法规】《广西壮族自治区森林防火条例》（2016年7月21日广西第十二届人大常委会第二十四次会议通过，2016年10月1日施行）第四十四条违反本条例第十六条第三款规定，破坏、挪用、拆除、侵占森林防火设施，或者堵塞森林防火通道、阻碍开设森林防火隔离带的，由县级以上人民政府林业主管部门责令停止违法行为，依法赔偿损失，并对个人处500元以上2000元以下罚款，对单位处1万元以上3万元以下罚款。</w:t>
            </w:r>
          </w:p>
          <w:p>
            <w:pPr>
              <w:spacing w:line="240" w:lineRule="exact"/>
              <w:ind w:firstLine="360" w:firstLineChars="200"/>
              <w:rPr>
                <w:color w:val="000000"/>
                <w:sz w:val="18"/>
                <w:szCs w:val="18"/>
              </w:rPr>
            </w:pPr>
          </w:p>
        </w:tc>
        <w:tc>
          <w:tcPr>
            <w:tcW w:w="2547"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801"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6"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21"/>
        <w:gridCol w:w="911"/>
        <w:gridCol w:w="796"/>
        <w:gridCol w:w="2821"/>
        <w:gridCol w:w="2550"/>
        <w:gridCol w:w="6807"/>
        <w:gridCol w:w="1557"/>
        <w:gridCol w:w="4674"/>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752" w:type="dxa"/>
            <w:vAlign w:val="center"/>
          </w:tcPr>
          <w:p>
            <w:pPr>
              <w:spacing w:line="280" w:lineRule="exact"/>
              <w:jc w:val="center"/>
              <w:rPr>
                <w:rFonts w:cs="Times New Roman"/>
                <w:sz w:val="18"/>
                <w:szCs w:val="18"/>
              </w:rPr>
            </w:pPr>
            <w:r>
              <w:rPr>
                <w:rFonts w:cs="Times New Roman"/>
                <w:sz w:val="18"/>
                <w:szCs w:val="18"/>
              </w:rPr>
              <w:t>序号</w:t>
            </w:r>
          </w:p>
        </w:tc>
        <w:tc>
          <w:tcPr>
            <w:tcW w:w="721" w:type="dxa"/>
            <w:vAlign w:val="center"/>
          </w:tcPr>
          <w:p>
            <w:pPr>
              <w:spacing w:line="280" w:lineRule="exact"/>
              <w:jc w:val="center"/>
              <w:rPr>
                <w:rFonts w:cs="Times New Roman"/>
                <w:sz w:val="18"/>
                <w:szCs w:val="18"/>
              </w:rPr>
            </w:pPr>
            <w:r>
              <w:rPr>
                <w:rFonts w:cs="Times New Roman"/>
                <w:sz w:val="18"/>
                <w:szCs w:val="18"/>
              </w:rPr>
              <w:t>权力分类</w:t>
            </w:r>
          </w:p>
        </w:tc>
        <w:tc>
          <w:tcPr>
            <w:tcW w:w="911" w:type="dxa"/>
            <w:vAlign w:val="center"/>
          </w:tcPr>
          <w:p>
            <w:pPr>
              <w:spacing w:line="280" w:lineRule="exact"/>
              <w:jc w:val="center"/>
              <w:rPr>
                <w:rFonts w:cs="Times New Roman"/>
                <w:sz w:val="18"/>
                <w:szCs w:val="18"/>
              </w:rPr>
            </w:pPr>
            <w:r>
              <w:rPr>
                <w:rFonts w:cs="Times New Roman"/>
                <w:sz w:val="18"/>
                <w:szCs w:val="18"/>
              </w:rPr>
              <w:t>项目名称</w:t>
            </w:r>
          </w:p>
        </w:tc>
        <w:tc>
          <w:tcPr>
            <w:tcW w:w="796" w:type="dxa"/>
            <w:vAlign w:val="center"/>
          </w:tcPr>
          <w:p>
            <w:pPr>
              <w:spacing w:line="280" w:lineRule="exact"/>
              <w:jc w:val="center"/>
              <w:rPr>
                <w:rFonts w:cs="Times New Roman"/>
                <w:sz w:val="18"/>
                <w:szCs w:val="18"/>
              </w:rPr>
            </w:pPr>
            <w:r>
              <w:rPr>
                <w:rFonts w:cs="Times New Roman"/>
                <w:sz w:val="18"/>
                <w:szCs w:val="18"/>
              </w:rPr>
              <w:t>子项</w:t>
            </w:r>
          </w:p>
        </w:tc>
        <w:tc>
          <w:tcPr>
            <w:tcW w:w="2821" w:type="dxa"/>
            <w:vAlign w:val="center"/>
          </w:tcPr>
          <w:p>
            <w:pPr>
              <w:spacing w:line="280" w:lineRule="exact"/>
              <w:jc w:val="center"/>
              <w:rPr>
                <w:rFonts w:cs="Times New Roman"/>
                <w:sz w:val="18"/>
                <w:szCs w:val="18"/>
              </w:rPr>
            </w:pPr>
            <w:r>
              <w:rPr>
                <w:rFonts w:cs="Times New Roman"/>
                <w:sz w:val="18"/>
                <w:szCs w:val="18"/>
              </w:rPr>
              <w:t>实施依据</w:t>
            </w:r>
          </w:p>
        </w:tc>
        <w:tc>
          <w:tcPr>
            <w:tcW w:w="2550" w:type="dxa"/>
            <w:vAlign w:val="center"/>
          </w:tcPr>
          <w:p>
            <w:pPr>
              <w:spacing w:line="280" w:lineRule="exact"/>
              <w:jc w:val="center"/>
              <w:rPr>
                <w:rFonts w:cs="Times New Roman"/>
                <w:sz w:val="18"/>
                <w:szCs w:val="18"/>
              </w:rPr>
            </w:pPr>
            <w:r>
              <w:rPr>
                <w:rFonts w:cs="Times New Roman"/>
                <w:sz w:val="18"/>
                <w:szCs w:val="18"/>
              </w:rPr>
              <w:t>责任事项</w:t>
            </w:r>
          </w:p>
        </w:tc>
        <w:tc>
          <w:tcPr>
            <w:tcW w:w="6807"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4"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0" w:hRule="atLeast"/>
          <w:jc w:val="center"/>
        </w:trPr>
        <w:tc>
          <w:tcPr>
            <w:tcW w:w="752" w:type="dxa"/>
            <w:vAlign w:val="center"/>
          </w:tcPr>
          <w:p>
            <w:pPr>
              <w:spacing w:line="240" w:lineRule="exact"/>
              <w:rPr>
                <w:rFonts w:cs="Times New Roman"/>
                <w:sz w:val="18"/>
                <w:szCs w:val="18"/>
              </w:rPr>
            </w:pPr>
            <w:r>
              <w:rPr>
                <w:rFonts w:hint="eastAsia" w:cs="Times New Roman"/>
                <w:sz w:val="18"/>
                <w:szCs w:val="18"/>
              </w:rPr>
              <w:t>48</w:t>
            </w:r>
          </w:p>
        </w:tc>
        <w:tc>
          <w:tcPr>
            <w:tcW w:w="72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911" w:type="dxa"/>
            <w:vAlign w:val="center"/>
          </w:tcPr>
          <w:p>
            <w:pPr>
              <w:spacing w:line="240" w:lineRule="exact"/>
              <w:rPr>
                <w:rFonts w:cs="Times New Roman"/>
                <w:sz w:val="18"/>
                <w:szCs w:val="18"/>
              </w:rPr>
            </w:pPr>
            <w:r>
              <w:rPr>
                <w:rFonts w:cs="Times New Roman"/>
                <w:sz w:val="18"/>
                <w:szCs w:val="18"/>
              </w:rPr>
              <w:t>对品种测试、试验和种子质量检验机构伪造测试、试验、检验数据或者出具虚假证明的处罚</w:t>
            </w:r>
          </w:p>
        </w:tc>
        <w:tc>
          <w:tcPr>
            <w:tcW w:w="796" w:type="dxa"/>
            <w:vAlign w:val="center"/>
          </w:tcPr>
          <w:p>
            <w:pPr>
              <w:spacing w:line="240" w:lineRule="exact"/>
              <w:rPr>
                <w:rFonts w:cs="Times New Roman"/>
                <w:sz w:val="18"/>
                <w:szCs w:val="18"/>
              </w:rPr>
            </w:pPr>
            <w:r>
              <w:rPr>
                <w:rFonts w:cs="Times New Roman"/>
                <w:sz w:val="18"/>
                <w:szCs w:val="18"/>
              </w:rPr>
              <w:t>　</w:t>
            </w:r>
          </w:p>
        </w:tc>
        <w:tc>
          <w:tcPr>
            <w:tcW w:w="2821" w:type="dxa"/>
            <w:vAlign w:val="center"/>
          </w:tcPr>
          <w:p>
            <w:pPr>
              <w:spacing w:line="240" w:lineRule="exact"/>
              <w:ind w:firstLine="360" w:firstLineChars="200"/>
              <w:rPr>
                <w:color w:val="000000"/>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）第七十二条 品种测试、试验和种子质量检验机构伪造测试、试验、检验数据或者出具虚假证明的,由县级以上人民政府农业、林业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w:t>
            </w:r>
          </w:p>
        </w:tc>
        <w:tc>
          <w:tcPr>
            <w:tcW w:w="2550"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807"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721"/>
        <w:gridCol w:w="846"/>
        <w:gridCol w:w="768"/>
        <w:gridCol w:w="3950"/>
        <w:gridCol w:w="2125"/>
        <w:gridCol w:w="6245"/>
        <w:gridCol w:w="1559"/>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715" w:type="dxa"/>
            <w:vAlign w:val="center"/>
          </w:tcPr>
          <w:p>
            <w:pPr>
              <w:spacing w:line="280" w:lineRule="exact"/>
              <w:jc w:val="center"/>
              <w:rPr>
                <w:rFonts w:cs="Times New Roman"/>
                <w:sz w:val="18"/>
                <w:szCs w:val="18"/>
              </w:rPr>
            </w:pPr>
            <w:r>
              <w:rPr>
                <w:rFonts w:cs="Times New Roman"/>
                <w:sz w:val="18"/>
                <w:szCs w:val="18"/>
              </w:rPr>
              <w:t>序号</w:t>
            </w:r>
          </w:p>
        </w:tc>
        <w:tc>
          <w:tcPr>
            <w:tcW w:w="721" w:type="dxa"/>
            <w:vAlign w:val="center"/>
          </w:tcPr>
          <w:p>
            <w:pPr>
              <w:spacing w:line="280" w:lineRule="exact"/>
              <w:jc w:val="center"/>
              <w:rPr>
                <w:rFonts w:cs="Times New Roman"/>
                <w:sz w:val="18"/>
                <w:szCs w:val="18"/>
              </w:rPr>
            </w:pPr>
            <w:r>
              <w:rPr>
                <w:rFonts w:cs="Times New Roman"/>
                <w:sz w:val="18"/>
                <w:szCs w:val="18"/>
              </w:rPr>
              <w:t>权力分类</w:t>
            </w:r>
          </w:p>
        </w:tc>
        <w:tc>
          <w:tcPr>
            <w:tcW w:w="846" w:type="dxa"/>
            <w:vAlign w:val="center"/>
          </w:tcPr>
          <w:p>
            <w:pPr>
              <w:spacing w:line="280" w:lineRule="exact"/>
              <w:jc w:val="center"/>
              <w:rPr>
                <w:rFonts w:cs="Times New Roman"/>
                <w:sz w:val="18"/>
                <w:szCs w:val="18"/>
              </w:rPr>
            </w:pPr>
            <w:r>
              <w:rPr>
                <w:rFonts w:cs="Times New Roman"/>
                <w:sz w:val="18"/>
                <w:szCs w:val="18"/>
              </w:rPr>
              <w:t>项目名称</w:t>
            </w:r>
          </w:p>
        </w:tc>
        <w:tc>
          <w:tcPr>
            <w:tcW w:w="768" w:type="dxa"/>
            <w:vAlign w:val="center"/>
          </w:tcPr>
          <w:p>
            <w:pPr>
              <w:spacing w:line="280" w:lineRule="exact"/>
              <w:jc w:val="center"/>
              <w:rPr>
                <w:rFonts w:cs="Times New Roman"/>
                <w:sz w:val="18"/>
                <w:szCs w:val="18"/>
              </w:rPr>
            </w:pPr>
            <w:r>
              <w:rPr>
                <w:rFonts w:cs="Times New Roman"/>
                <w:sz w:val="18"/>
                <w:szCs w:val="18"/>
              </w:rPr>
              <w:t>子项</w:t>
            </w:r>
          </w:p>
        </w:tc>
        <w:tc>
          <w:tcPr>
            <w:tcW w:w="3950" w:type="dxa"/>
            <w:vAlign w:val="center"/>
          </w:tcPr>
          <w:p>
            <w:pPr>
              <w:spacing w:line="280" w:lineRule="exact"/>
              <w:jc w:val="center"/>
              <w:rPr>
                <w:rFonts w:cs="Times New Roman"/>
                <w:sz w:val="18"/>
                <w:szCs w:val="18"/>
              </w:rPr>
            </w:pPr>
            <w:r>
              <w:rPr>
                <w:rFonts w:cs="Times New Roman"/>
                <w:sz w:val="18"/>
                <w:szCs w:val="18"/>
              </w:rPr>
              <w:t>实施依据</w:t>
            </w:r>
          </w:p>
        </w:tc>
        <w:tc>
          <w:tcPr>
            <w:tcW w:w="2125" w:type="dxa"/>
            <w:vAlign w:val="center"/>
          </w:tcPr>
          <w:p>
            <w:pPr>
              <w:spacing w:line="280" w:lineRule="exact"/>
              <w:jc w:val="center"/>
              <w:rPr>
                <w:rFonts w:cs="Times New Roman"/>
                <w:sz w:val="18"/>
                <w:szCs w:val="18"/>
              </w:rPr>
            </w:pPr>
            <w:r>
              <w:rPr>
                <w:rFonts w:cs="Times New Roman"/>
                <w:sz w:val="18"/>
                <w:szCs w:val="18"/>
              </w:rPr>
              <w:t>责任事项</w:t>
            </w:r>
          </w:p>
        </w:tc>
        <w:tc>
          <w:tcPr>
            <w:tcW w:w="6245" w:type="dxa"/>
            <w:vAlign w:val="center"/>
          </w:tcPr>
          <w:p>
            <w:pPr>
              <w:spacing w:line="280" w:lineRule="exact"/>
              <w:jc w:val="center"/>
              <w:rPr>
                <w:rFonts w:cs="Times New Roman"/>
                <w:sz w:val="18"/>
                <w:szCs w:val="18"/>
              </w:rPr>
            </w:pPr>
            <w:r>
              <w:rPr>
                <w:rFonts w:cs="Times New Roman"/>
                <w:sz w:val="18"/>
                <w:szCs w:val="18"/>
              </w:rPr>
              <w:t>责任事项依据</w:t>
            </w:r>
          </w:p>
        </w:tc>
        <w:tc>
          <w:tcPr>
            <w:tcW w:w="1559"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715" w:type="dxa"/>
            <w:vAlign w:val="center"/>
          </w:tcPr>
          <w:p>
            <w:pPr>
              <w:spacing w:line="240" w:lineRule="exact"/>
              <w:rPr>
                <w:rFonts w:cs="Times New Roman"/>
                <w:sz w:val="18"/>
                <w:szCs w:val="18"/>
              </w:rPr>
            </w:pPr>
            <w:r>
              <w:rPr>
                <w:rFonts w:hint="eastAsia" w:cs="Times New Roman"/>
                <w:sz w:val="18"/>
                <w:szCs w:val="18"/>
              </w:rPr>
              <w:t>49</w:t>
            </w:r>
          </w:p>
        </w:tc>
        <w:tc>
          <w:tcPr>
            <w:tcW w:w="72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46" w:type="dxa"/>
            <w:vAlign w:val="center"/>
          </w:tcPr>
          <w:p>
            <w:pPr>
              <w:spacing w:line="240" w:lineRule="exact"/>
              <w:rPr>
                <w:rFonts w:cs="Times New Roman"/>
                <w:sz w:val="18"/>
                <w:szCs w:val="18"/>
              </w:rPr>
            </w:pPr>
            <w:r>
              <w:rPr>
                <w:rFonts w:cs="Times New Roman"/>
                <w:sz w:val="18"/>
                <w:szCs w:val="18"/>
              </w:rPr>
              <w:t>对侵犯植物新品种权</w:t>
            </w:r>
            <w:r>
              <w:rPr>
                <w:rFonts w:hint="eastAsia" w:cs="Times New Roman"/>
                <w:sz w:val="18"/>
                <w:szCs w:val="18"/>
              </w:rPr>
              <w:t>、假冒授权品种</w:t>
            </w:r>
            <w:r>
              <w:rPr>
                <w:rFonts w:cs="Times New Roman"/>
                <w:sz w:val="18"/>
                <w:szCs w:val="18"/>
              </w:rPr>
              <w:t>的处罚</w:t>
            </w:r>
          </w:p>
        </w:tc>
        <w:tc>
          <w:tcPr>
            <w:tcW w:w="768" w:type="dxa"/>
            <w:vAlign w:val="center"/>
          </w:tcPr>
          <w:p>
            <w:pPr>
              <w:spacing w:line="240" w:lineRule="exact"/>
              <w:rPr>
                <w:rFonts w:cs="Times New Roman"/>
                <w:sz w:val="18"/>
                <w:szCs w:val="18"/>
              </w:rPr>
            </w:pPr>
            <w:r>
              <w:rPr>
                <w:rFonts w:cs="Times New Roman"/>
                <w:sz w:val="18"/>
                <w:szCs w:val="18"/>
              </w:rPr>
              <w:t>　</w:t>
            </w:r>
          </w:p>
        </w:tc>
        <w:tc>
          <w:tcPr>
            <w:tcW w:w="3950" w:type="dxa"/>
            <w:vAlign w:val="center"/>
          </w:tcPr>
          <w:p>
            <w:pPr>
              <w:pStyle w:val="5"/>
              <w:shd w:val="clear" w:color="auto" w:fill="FFFFFF"/>
              <w:ind w:firstLine="360" w:firstLineChars="20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）第七十三条　违反本法第二十八条规定，有侵犯植物新品种权行为的，由当事人协商解决，不愿协商或者协商不成的，植物新品种权所有人或者利害关系人可以请求县级以上人民政府农业、林业主管部门进行处理，也可以直接向人民法院提起诉讼。县级以上人民政府农业、林业主管部门，根据当事人自愿的原则，对侵犯植物新品种权所造成的损害赔偿可以进行调解。调解达成协议的，当事人应当履行；当事人不履行协议或者调解未达成协议的，植物新品种权所有人或者利害关系人可以依法向人民法院提起诉讼。侵犯植物新品种权的赔偿数额按照权利人因被侵权所受到的实际损失确定；实际损失难以确定的，可以按照侵权人因侵权所获得的利益确定。权利人的损失或者侵权人获得的利益难以确定的，可以参照该植物新品种权许可使用费的倍数合理确定。赔偿数额应当包括权利人为制止侵权行为所支付的合理开支。侵犯植物新品种权，情节严重的，可以在按照上述方法确定数额的一倍以上三倍以下确定赔偿数额。权利人的损失、侵权人获得的利益和植物新品种权许可使用费均难以确定的，人民法院可以根据植物新品种权的类型、侵权行为的性质和情节等因素，确定给予三百万元以下的赔偿。县级以上人民政府农业、林业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假冒授权品种的，由县级以上人民政府农业、林业主管部门责令停止假冒行为，没收违法所得和种子；货值金额不足五万元的，并处一万元以上二十五万元以下罚款；货值金额五万元以上的，并处货值金额五倍以上十倍以下罚款。</w:t>
            </w:r>
          </w:p>
        </w:tc>
        <w:tc>
          <w:tcPr>
            <w:tcW w:w="2125"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4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9"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740"/>
        <w:gridCol w:w="751"/>
        <w:gridCol w:w="730"/>
        <w:gridCol w:w="3845"/>
        <w:gridCol w:w="2268"/>
        <w:gridCol w:w="6245"/>
        <w:gridCol w:w="1559"/>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791"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751" w:type="dxa"/>
            <w:vAlign w:val="center"/>
          </w:tcPr>
          <w:p>
            <w:pPr>
              <w:spacing w:line="280" w:lineRule="exact"/>
              <w:jc w:val="center"/>
              <w:rPr>
                <w:rFonts w:cs="Times New Roman"/>
                <w:sz w:val="18"/>
                <w:szCs w:val="18"/>
              </w:rPr>
            </w:pPr>
            <w:r>
              <w:rPr>
                <w:rFonts w:cs="Times New Roman"/>
                <w:sz w:val="18"/>
                <w:szCs w:val="18"/>
              </w:rPr>
              <w:t>项目名称</w:t>
            </w:r>
          </w:p>
        </w:tc>
        <w:tc>
          <w:tcPr>
            <w:tcW w:w="730" w:type="dxa"/>
            <w:vAlign w:val="center"/>
          </w:tcPr>
          <w:p>
            <w:pPr>
              <w:spacing w:line="280" w:lineRule="exact"/>
              <w:jc w:val="center"/>
              <w:rPr>
                <w:rFonts w:cs="Times New Roman"/>
                <w:sz w:val="18"/>
                <w:szCs w:val="18"/>
              </w:rPr>
            </w:pPr>
            <w:r>
              <w:rPr>
                <w:rFonts w:cs="Times New Roman"/>
                <w:sz w:val="18"/>
                <w:szCs w:val="18"/>
              </w:rPr>
              <w:t>子项</w:t>
            </w:r>
          </w:p>
        </w:tc>
        <w:tc>
          <w:tcPr>
            <w:tcW w:w="3845" w:type="dxa"/>
            <w:vAlign w:val="center"/>
          </w:tcPr>
          <w:p>
            <w:pPr>
              <w:spacing w:line="280" w:lineRule="exact"/>
              <w:jc w:val="center"/>
              <w:rPr>
                <w:rFonts w:cs="Times New Roman"/>
                <w:sz w:val="18"/>
                <w:szCs w:val="18"/>
              </w:rPr>
            </w:pPr>
            <w:r>
              <w:rPr>
                <w:rFonts w:cs="Times New Roman"/>
                <w:sz w:val="18"/>
                <w:szCs w:val="18"/>
              </w:rPr>
              <w:t>实施依据</w:t>
            </w:r>
          </w:p>
        </w:tc>
        <w:tc>
          <w:tcPr>
            <w:tcW w:w="2268" w:type="dxa"/>
            <w:vAlign w:val="center"/>
          </w:tcPr>
          <w:p>
            <w:pPr>
              <w:spacing w:line="280" w:lineRule="exact"/>
              <w:jc w:val="center"/>
              <w:rPr>
                <w:rFonts w:cs="Times New Roman"/>
                <w:sz w:val="18"/>
                <w:szCs w:val="18"/>
              </w:rPr>
            </w:pPr>
            <w:r>
              <w:rPr>
                <w:rFonts w:cs="Times New Roman"/>
                <w:sz w:val="18"/>
                <w:szCs w:val="18"/>
              </w:rPr>
              <w:t>责任事项</w:t>
            </w:r>
          </w:p>
        </w:tc>
        <w:tc>
          <w:tcPr>
            <w:tcW w:w="6245" w:type="dxa"/>
            <w:vAlign w:val="center"/>
          </w:tcPr>
          <w:p>
            <w:pPr>
              <w:spacing w:line="280" w:lineRule="exact"/>
              <w:jc w:val="center"/>
              <w:rPr>
                <w:rFonts w:cs="Times New Roman"/>
                <w:sz w:val="18"/>
                <w:szCs w:val="18"/>
              </w:rPr>
            </w:pPr>
            <w:r>
              <w:rPr>
                <w:rFonts w:cs="Times New Roman"/>
                <w:sz w:val="18"/>
                <w:szCs w:val="18"/>
              </w:rPr>
              <w:t>责任事项依据</w:t>
            </w:r>
          </w:p>
        </w:tc>
        <w:tc>
          <w:tcPr>
            <w:tcW w:w="1559"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791" w:type="dxa"/>
            <w:vAlign w:val="center"/>
          </w:tcPr>
          <w:p>
            <w:pPr>
              <w:spacing w:line="240" w:lineRule="exact"/>
              <w:rPr>
                <w:rFonts w:cs="Times New Roman"/>
                <w:sz w:val="18"/>
                <w:szCs w:val="18"/>
              </w:rPr>
            </w:pPr>
            <w:r>
              <w:rPr>
                <w:rFonts w:hint="eastAsia" w:cs="Times New Roman"/>
                <w:sz w:val="18"/>
                <w:szCs w:val="18"/>
              </w:rPr>
              <w:t>50</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51" w:type="dxa"/>
            <w:vAlign w:val="center"/>
          </w:tcPr>
          <w:p>
            <w:pPr>
              <w:spacing w:line="240" w:lineRule="exact"/>
              <w:rPr>
                <w:rFonts w:cs="Times New Roman"/>
                <w:sz w:val="18"/>
                <w:szCs w:val="18"/>
              </w:rPr>
            </w:pPr>
            <w:r>
              <w:rPr>
                <w:rFonts w:cs="Times New Roman"/>
                <w:sz w:val="18"/>
                <w:szCs w:val="18"/>
              </w:rPr>
              <w:t>对生产经营假</w:t>
            </w:r>
            <w:r>
              <w:rPr>
                <w:rFonts w:hint="eastAsia" w:cs="Times New Roman"/>
                <w:sz w:val="18"/>
                <w:szCs w:val="18"/>
              </w:rPr>
              <w:t>、劣</w:t>
            </w:r>
            <w:r>
              <w:rPr>
                <w:rFonts w:cs="Times New Roman"/>
                <w:sz w:val="18"/>
                <w:szCs w:val="18"/>
              </w:rPr>
              <w:t>种子的处罚</w:t>
            </w:r>
          </w:p>
        </w:tc>
        <w:tc>
          <w:tcPr>
            <w:tcW w:w="730" w:type="dxa"/>
            <w:vAlign w:val="center"/>
          </w:tcPr>
          <w:p>
            <w:pPr>
              <w:spacing w:line="240" w:lineRule="exact"/>
              <w:rPr>
                <w:rFonts w:cs="Times New Roman"/>
                <w:sz w:val="18"/>
                <w:szCs w:val="18"/>
              </w:rPr>
            </w:pPr>
            <w:r>
              <w:rPr>
                <w:rFonts w:cs="Times New Roman"/>
                <w:sz w:val="18"/>
                <w:szCs w:val="18"/>
              </w:rPr>
              <w:t>　</w:t>
            </w:r>
          </w:p>
        </w:tc>
        <w:tc>
          <w:tcPr>
            <w:tcW w:w="3845" w:type="dxa"/>
            <w:vAlign w:val="center"/>
          </w:tcPr>
          <w:p>
            <w:pPr>
              <w:pStyle w:val="5"/>
              <w:shd w:val="clear" w:color="auto" w:fill="FFFFFF"/>
              <w:ind w:firstLine="360" w:firstLineChars="20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）第七十</w:t>
            </w:r>
            <w:r>
              <w:rPr>
                <w:rFonts w:hint="eastAsia" w:cs="Times New Roman"/>
                <w:sz w:val="18"/>
                <w:szCs w:val="18"/>
              </w:rPr>
              <w:t>五</w:t>
            </w:r>
            <w:r>
              <w:rPr>
                <w:rFonts w:cs="Times New Roman"/>
                <w:sz w:val="18"/>
                <w:szCs w:val="18"/>
              </w:rPr>
              <w:t>条　违反本法第四十九条规定，生产经营假种子的，由县级以上人民政府农业、林业主管部门责令停止生产经营，没收违法所得和种子，吊销种子生产经营许可证；违法生产经营的货值金额不足一万元的，并处一万元以上十万元以下罚款；货值金额一万元以上的，并处货值金额十倍以上二十倍以下罚款。 因生产经营假种子犯罪被判处有期徒刑以上刑罚的，种子企业或者其他单位的法定代表人、直接负责的主管人员自刑罚执行完毕之日起五年内不得担任种子企业的法定代表人、高级管理人员。第七十六条违反本法第四十九条规定，生产经营劣种子的，由县级以上人民政府农业、林业主管部门责令停止生产经营，没收违法所得和种子；违法生产经营的货值金额不足一万元的，并处五千元以上五万元以下罚款；货值金额一万元以上的，并处货值金额五倍以上十倍以下罚款；情节严重的，吊销种子生产经营许可证。因生产经营劣种子犯罪被判处有期徒刑以上刑罚的，种子企业或者其他单位的法定代表人、直接负责的主管人员自刑罚执行完毕之日起五年内不得担任种子企业的法定代表人、高级管理人员。</w:t>
            </w:r>
          </w:p>
          <w:p>
            <w:pPr>
              <w:pStyle w:val="5"/>
              <w:shd w:val="clear" w:color="auto" w:fill="FFFFFF"/>
              <w:rPr>
                <w:rFonts w:cs="Times New Roman"/>
                <w:sz w:val="18"/>
                <w:szCs w:val="18"/>
              </w:rPr>
            </w:pPr>
          </w:p>
        </w:tc>
        <w:tc>
          <w:tcPr>
            <w:tcW w:w="2268"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4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9"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740"/>
        <w:gridCol w:w="770"/>
        <w:gridCol w:w="730"/>
        <w:gridCol w:w="3845"/>
        <w:gridCol w:w="2268"/>
        <w:gridCol w:w="6245"/>
        <w:gridCol w:w="1559"/>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772"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770" w:type="dxa"/>
            <w:vAlign w:val="center"/>
          </w:tcPr>
          <w:p>
            <w:pPr>
              <w:spacing w:line="280" w:lineRule="exact"/>
              <w:jc w:val="center"/>
              <w:rPr>
                <w:rFonts w:cs="Times New Roman"/>
                <w:sz w:val="18"/>
                <w:szCs w:val="18"/>
              </w:rPr>
            </w:pPr>
            <w:r>
              <w:rPr>
                <w:rFonts w:cs="Times New Roman"/>
                <w:sz w:val="18"/>
                <w:szCs w:val="18"/>
              </w:rPr>
              <w:t>项目名称</w:t>
            </w:r>
          </w:p>
        </w:tc>
        <w:tc>
          <w:tcPr>
            <w:tcW w:w="730" w:type="dxa"/>
            <w:vAlign w:val="center"/>
          </w:tcPr>
          <w:p>
            <w:pPr>
              <w:spacing w:line="280" w:lineRule="exact"/>
              <w:jc w:val="center"/>
              <w:rPr>
                <w:rFonts w:cs="Times New Roman"/>
                <w:sz w:val="18"/>
                <w:szCs w:val="18"/>
              </w:rPr>
            </w:pPr>
            <w:r>
              <w:rPr>
                <w:rFonts w:cs="Times New Roman"/>
                <w:sz w:val="18"/>
                <w:szCs w:val="18"/>
              </w:rPr>
              <w:t>子项</w:t>
            </w:r>
          </w:p>
        </w:tc>
        <w:tc>
          <w:tcPr>
            <w:tcW w:w="3845" w:type="dxa"/>
            <w:vAlign w:val="center"/>
          </w:tcPr>
          <w:p>
            <w:pPr>
              <w:spacing w:line="280" w:lineRule="exact"/>
              <w:jc w:val="center"/>
              <w:rPr>
                <w:rFonts w:cs="Times New Roman"/>
                <w:sz w:val="18"/>
                <w:szCs w:val="18"/>
              </w:rPr>
            </w:pPr>
            <w:r>
              <w:rPr>
                <w:rFonts w:cs="Times New Roman"/>
                <w:sz w:val="18"/>
                <w:szCs w:val="18"/>
              </w:rPr>
              <w:t>实施依据</w:t>
            </w:r>
          </w:p>
        </w:tc>
        <w:tc>
          <w:tcPr>
            <w:tcW w:w="2268" w:type="dxa"/>
            <w:vAlign w:val="center"/>
          </w:tcPr>
          <w:p>
            <w:pPr>
              <w:spacing w:line="280" w:lineRule="exact"/>
              <w:jc w:val="center"/>
              <w:rPr>
                <w:rFonts w:cs="Times New Roman"/>
                <w:sz w:val="18"/>
                <w:szCs w:val="18"/>
              </w:rPr>
            </w:pPr>
            <w:r>
              <w:rPr>
                <w:rFonts w:cs="Times New Roman"/>
                <w:sz w:val="18"/>
                <w:szCs w:val="18"/>
              </w:rPr>
              <w:t>责任事项</w:t>
            </w:r>
          </w:p>
        </w:tc>
        <w:tc>
          <w:tcPr>
            <w:tcW w:w="6245" w:type="dxa"/>
            <w:vAlign w:val="center"/>
          </w:tcPr>
          <w:p>
            <w:pPr>
              <w:spacing w:line="280" w:lineRule="exact"/>
              <w:jc w:val="center"/>
              <w:rPr>
                <w:rFonts w:cs="Times New Roman"/>
                <w:sz w:val="18"/>
                <w:szCs w:val="18"/>
              </w:rPr>
            </w:pPr>
            <w:r>
              <w:rPr>
                <w:rFonts w:cs="Times New Roman"/>
                <w:sz w:val="18"/>
                <w:szCs w:val="18"/>
              </w:rPr>
              <w:t>责任事项依据</w:t>
            </w:r>
          </w:p>
        </w:tc>
        <w:tc>
          <w:tcPr>
            <w:tcW w:w="1559"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772" w:type="dxa"/>
            <w:vAlign w:val="center"/>
          </w:tcPr>
          <w:p>
            <w:pPr>
              <w:spacing w:line="240" w:lineRule="exact"/>
              <w:rPr>
                <w:rFonts w:cs="Times New Roman"/>
                <w:sz w:val="18"/>
                <w:szCs w:val="18"/>
              </w:rPr>
            </w:pPr>
            <w:r>
              <w:rPr>
                <w:rFonts w:hint="eastAsia" w:cs="Times New Roman"/>
                <w:sz w:val="18"/>
                <w:szCs w:val="18"/>
              </w:rPr>
              <w:t>51</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70" w:type="dxa"/>
            <w:vAlign w:val="center"/>
          </w:tcPr>
          <w:p>
            <w:pPr>
              <w:spacing w:line="240" w:lineRule="exact"/>
              <w:rPr>
                <w:rFonts w:cs="Times New Roman"/>
                <w:sz w:val="18"/>
                <w:szCs w:val="18"/>
              </w:rPr>
            </w:pPr>
            <w:r>
              <w:rPr>
                <w:rFonts w:cs="Times New Roman"/>
                <w:sz w:val="18"/>
                <w:szCs w:val="18"/>
              </w:rPr>
              <w:t>对种子生产经营</w:t>
            </w:r>
            <w:r>
              <w:rPr>
                <w:rFonts w:hint="eastAsia" w:cs="Times New Roman"/>
                <w:sz w:val="18"/>
                <w:szCs w:val="18"/>
              </w:rPr>
              <w:t>过程中多种违法行为</w:t>
            </w:r>
            <w:r>
              <w:rPr>
                <w:rFonts w:cs="Times New Roman"/>
                <w:sz w:val="18"/>
                <w:szCs w:val="18"/>
              </w:rPr>
              <w:t>的处罚</w:t>
            </w:r>
          </w:p>
        </w:tc>
        <w:tc>
          <w:tcPr>
            <w:tcW w:w="730" w:type="dxa"/>
            <w:vAlign w:val="center"/>
          </w:tcPr>
          <w:p>
            <w:pPr>
              <w:spacing w:line="240" w:lineRule="exact"/>
              <w:rPr>
                <w:rFonts w:cs="Times New Roman"/>
                <w:sz w:val="18"/>
                <w:szCs w:val="18"/>
              </w:rPr>
            </w:pPr>
            <w:r>
              <w:rPr>
                <w:rFonts w:cs="Times New Roman"/>
                <w:sz w:val="18"/>
                <w:szCs w:val="18"/>
              </w:rPr>
              <w:t>　</w:t>
            </w:r>
          </w:p>
        </w:tc>
        <w:tc>
          <w:tcPr>
            <w:tcW w:w="3845" w:type="dxa"/>
            <w:vAlign w:val="center"/>
          </w:tcPr>
          <w:p>
            <w:pPr>
              <w:pStyle w:val="5"/>
              <w:shd w:val="clear" w:color="auto" w:fill="FFFFFF"/>
              <w:spacing w:line="240" w:lineRule="exact"/>
              <w:ind w:firstLine="360" w:firstLineChars="20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）第七十七条　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一）未取得种子生产经营许可证生产经营种子的；（二）以欺骗、贿赂等不正当手段取得种子生产经营许可证的；（三）未按照种子生产经营许可证的规定生产经营种子的；（四）伪造、变造、买卖、租借种子生产经营许可证的。被吊销种子生产经营许可证的单位，其法定代表人、直接负责的主管人员自处罚决定作出之日起五年内不得担任种子企业的法定代表人、高级管理人员。</w:t>
            </w:r>
          </w:p>
          <w:p>
            <w:pPr>
              <w:pStyle w:val="5"/>
              <w:shd w:val="clear" w:color="auto" w:fill="FFFFFF"/>
              <w:spacing w:line="240" w:lineRule="exact"/>
              <w:rPr>
                <w:rFonts w:cs="Times New Roman"/>
                <w:sz w:val="18"/>
                <w:szCs w:val="18"/>
              </w:rPr>
            </w:pPr>
          </w:p>
        </w:tc>
        <w:tc>
          <w:tcPr>
            <w:tcW w:w="2268"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4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9"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736"/>
        <w:gridCol w:w="785"/>
        <w:gridCol w:w="707"/>
        <w:gridCol w:w="3844"/>
        <w:gridCol w:w="2256"/>
        <w:gridCol w:w="6211"/>
        <w:gridCol w:w="1551"/>
        <w:gridCol w:w="4653"/>
        <w:gridCol w:w="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49" w:type="dxa"/>
            <w:vAlign w:val="center"/>
          </w:tcPr>
          <w:p>
            <w:pPr>
              <w:spacing w:line="280" w:lineRule="exact"/>
              <w:jc w:val="center"/>
              <w:rPr>
                <w:rFonts w:cs="Times New Roman"/>
                <w:sz w:val="18"/>
                <w:szCs w:val="18"/>
              </w:rPr>
            </w:pPr>
            <w:r>
              <w:rPr>
                <w:rFonts w:cs="Times New Roman"/>
                <w:sz w:val="18"/>
                <w:szCs w:val="18"/>
              </w:rPr>
              <w:t>序号</w:t>
            </w:r>
          </w:p>
        </w:tc>
        <w:tc>
          <w:tcPr>
            <w:tcW w:w="736" w:type="dxa"/>
            <w:vAlign w:val="center"/>
          </w:tcPr>
          <w:p>
            <w:pPr>
              <w:spacing w:line="280" w:lineRule="exact"/>
              <w:jc w:val="center"/>
              <w:rPr>
                <w:rFonts w:cs="Times New Roman"/>
                <w:sz w:val="18"/>
                <w:szCs w:val="18"/>
              </w:rPr>
            </w:pPr>
            <w:r>
              <w:rPr>
                <w:rFonts w:cs="Times New Roman"/>
                <w:sz w:val="18"/>
                <w:szCs w:val="18"/>
              </w:rPr>
              <w:t>权力分类</w:t>
            </w:r>
          </w:p>
        </w:tc>
        <w:tc>
          <w:tcPr>
            <w:tcW w:w="785" w:type="dxa"/>
            <w:vAlign w:val="center"/>
          </w:tcPr>
          <w:p>
            <w:pPr>
              <w:spacing w:line="280" w:lineRule="exact"/>
              <w:jc w:val="center"/>
              <w:rPr>
                <w:rFonts w:cs="Times New Roman"/>
                <w:sz w:val="18"/>
                <w:szCs w:val="18"/>
              </w:rPr>
            </w:pPr>
            <w:r>
              <w:rPr>
                <w:rFonts w:cs="Times New Roman"/>
                <w:sz w:val="18"/>
                <w:szCs w:val="18"/>
              </w:rPr>
              <w:t>项目名称</w:t>
            </w:r>
          </w:p>
        </w:tc>
        <w:tc>
          <w:tcPr>
            <w:tcW w:w="707" w:type="dxa"/>
            <w:vAlign w:val="center"/>
          </w:tcPr>
          <w:p>
            <w:pPr>
              <w:spacing w:line="280" w:lineRule="exact"/>
              <w:jc w:val="center"/>
              <w:rPr>
                <w:rFonts w:cs="Times New Roman"/>
                <w:sz w:val="18"/>
                <w:szCs w:val="18"/>
              </w:rPr>
            </w:pPr>
            <w:r>
              <w:rPr>
                <w:rFonts w:cs="Times New Roman"/>
                <w:sz w:val="18"/>
                <w:szCs w:val="18"/>
              </w:rPr>
              <w:t>子项</w:t>
            </w:r>
          </w:p>
        </w:tc>
        <w:tc>
          <w:tcPr>
            <w:tcW w:w="3844" w:type="dxa"/>
            <w:vAlign w:val="center"/>
          </w:tcPr>
          <w:p>
            <w:pPr>
              <w:spacing w:line="280" w:lineRule="exact"/>
              <w:jc w:val="center"/>
              <w:rPr>
                <w:rFonts w:cs="Times New Roman"/>
                <w:sz w:val="18"/>
                <w:szCs w:val="18"/>
              </w:rPr>
            </w:pPr>
            <w:r>
              <w:rPr>
                <w:rFonts w:cs="Times New Roman"/>
                <w:sz w:val="18"/>
                <w:szCs w:val="18"/>
              </w:rPr>
              <w:t>实施依据</w:t>
            </w:r>
          </w:p>
        </w:tc>
        <w:tc>
          <w:tcPr>
            <w:tcW w:w="2256" w:type="dxa"/>
            <w:vAlign w:val="center"/>
          </w:tcPr>
          <w:p>
            <w:pPr>
              <w:spacing w:line="280" w:lineRule="exact"/>
              <w:jc w:val="center"/>
              <w:rPr>
                <w:rFonts w:cs="Times New Roman"/>
                <w:sz w:val="18"/>
                <w:szCs w:val="18"/>
              </w:rPr>
            </w:pPr>
            <w:r>
              <w:rPr>
                <w:rFonts w:cs="Times New Roman"/>
                <w:sz w:val="18"/>
                <w:szCs w:val="18"/>
              </w:rPr>
              <w:t>责任事项</w:t>
            </w:r>
          </w:p>
        </w:tc>
        <w:tc>
          <w:tcPr>
            <w:tcW w:w="6211" w:type="dxa"/>
            <w:vAlign w:val="center"/>
          </w:tcPr>
          <w:p>
            <w:pPr>
              <w:spacing w:line="280" w:lineRule="exact"/>
              <w:jc w:val="center"/>
              <w:rPr>
                <w:rFonts w:cs="Times New Roman"/>
                <w:sz w:val="18"/>
                <w:szCs w:val="18"/>
              </w:rPr>
            </w:pPr>
            <w:r>
              <w:rPr>
                <w:rFonts w:cs="Times New Roman"/>
                <w:sz w:val="18"/>
                <w:szCs w:val="18"/>
              </w:rPr>
              <w:t>责任事项依据</w:t>
            </w:r>
          </w:p>
        </w:tc>
        <w:tc>
          <w:tcPr>
            <w:tcW w:w="1551" w:type="dxa"/>
            <w:vAlign w:val="center"/>
          </w:tcPr>
          <w:p>
            <w:pPr>
              <w:spacing w:line="280" w:lineRule="exact"/>
              <w:jc w:val="center"/>
              <w:rPr>
                <w:rFonts w:cs="Times New Roman"/>
                <w:sz w:val="18"/>
                <w:szCs w:val="18"/>
              </w:rPr>
            </w:pPr>
            <w:r>
              <w:rPr>
                <w:rFonts w:cs="Times New Roman"/>
                <w:sz w:val="18"/>
                <w:szCs w:val="18"/>
              </w:rPr>
              <w:t>追责情形</w:t>
            </w:r>
          </w:p>
        </w:tc>
        <w:tc>
          <w:tcPr>
            <w:tcW w:w="4653" w:type="dxa"/>
            <w:vAlign w:val="center"/>
          </w:tcPr>
          <w:p>
            <w:pPr>
              <w:spacing w:line="280" w:lineRule="exact"/>
              <w:jc w:val="center"/>
              <w:rPr>
                <w:rFonts w:cs="Times New Roman"/>
                <w:sz w:val="18"/>
                <w:szCs w:val="18"/>
              </w:rPr>
            </w:pPr>
            <w:r>
              <w:rPr>
                <w:rFonts w:cs="Times New Roman"/>
                <w:sz w:val="18"/>
                <w:szCs w:val="18"/>
              </w:rPr>
              <w:t>追责依据</w:t>
            </w:r>
          </w:p>
        </w:tc>
        <w:tc>
          <w:tcPr>
            <w:tcW w:w="608"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7" w:hRule="atLeast"/>
          <w:jc w:val="center"/>
        </w:trPr>
        <w:tc>
          <w:tcPr>
            <w:tcW w:w="749" w:type="dxa"/>
            <w:vAlign w:val="center"/>
          </w:tcPr>
          <w:p>
            <w:pPr>
              <w:spacing w:line="240" w:lineRule="exact"/>
              <w:rPr>
                <w:rFonts w:cs="Times New Roman"/>
                <w:sz w:val="18"/>
                <w:szCs w:val="18"/>
              </w:rPr>
            </w:pPr>
            <w:r>
              <w:rPr>
                <w:rFonts w:hint="eastAsia" w:cs="Times New Roman"/>
                <w:sz w:val="18"/>
                <w:szCs w:val="18"/>
              </w:rPr>
              <w:t>52</w:t>
            </w:r>
          </w:p>
        </w:tc>
        <w:tc>
          <w:tcPr>
            <w:tcW w:w="736"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785" w:type="dxa"/>
            <w:vAlign w:val="center"/>
          </w:tcPr>
          <w:p>
            <w:pPr>
              <w:spacing w:line="240" w:lineRule="exact"/>
              <w:rPr>
                <w:rFonts w:cs="Times New Roman"/>
                <w:sz w:val="18"/>
                <w:szCs w:val="18"/>
              </w:rPr>
            </w:pPr>
            <w:r>
              <w:rPr>
                <w:rFonts w:hint="eastAsia" w:cs="Times New Roman"/>
                <w:sz w:val="18"/>
                <w:szCs w:val="18"/>
              </w:rPr>
              <w:t>对林木良种推广、销售中违法行为的处罚</w:t>
            </w:r>
          </w:p>
        </w:tc>
        <w:tc>
          <w:tcPr>
            <w:tcW w:w="707" w:type="dxa"/>
            <w:vAlign w:val="center"/>
          </w:tcPr>
          <w:p>
            <w:pPr>
              <w:spacing w:line="240" w:lineRule="exact"/>
              <w:rPr>
                <w:rFonts w:cs="Times New Roman"/>
                <w:sz w:val="18"/>
                <w:szCs w:val="18"/>
              </w:rPr>
            </w:pPr>
            <w:r>
              <w:rPr>
                <w:rFonts w:cs="Times New Roman"/>
                <w:sz w:val="18"/>
                <w:szCs w:val="18"/>
              </w:rPr>
              <w:t>　</w:t>
            </w:r>
          </w:p>
        </w:tc>
        <w:tc>
          <w:tcPr>
            <w:tcW w:w="3844" w:type="dxa"/>
            <w:vAlign w:val="center"/>
          </w:tcPr>
          <w:p>
            <w:pPr>
              <w:spacing w:line="240" w:lineRule="exact"/>
              <w:ind w:firstLine="450" w:firstLineChars="25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）第七十八条　违反本法第二十一条、第二十二条、第二十三条规定，有下列行为之一的，由县级以上人民政府农业、林业主管部门责令停止违法行为，没收违法所得和种子，并处二万元以上二十万元以下罚款：（一）对应当审定未经审定的农作物品种进行推广、销售的；（二）作为良种推广、销售应当审定未经审定的林木品种的；（三）推广、销售应当停止推广、销售的农作物品种或者林木良种的；（四）对应当登记未经登记的农作物品种进行推广，或者以登记品种的名义进行销售的；（五）对已撤销登记的农作物品种进行推广，或者以登记品种的名义进行销售的。违反本法第二十三条、第四十二条规定，对应当审定未经审定或者应当登记未经登记的农作物品种发布广告，或者广告中有关品种的主要性状描述的内容与审定、登记公告不一致的，依照《中华人民共和国广告法》的有关规定追究法律责任。</w:t>
            </w:r>
          </w:p>
          <w:p>
            <w:pPr>
              <w:pStyle w:val="5"/>
              <w:shd w:val="clear" w:color="auto" w:fill="FFFFFF"/>
              <w:ind w:firstLine="360" w:firstLineChars="200"/>
              <w:rPr>
                <w:rFonts w:cs="Times New Roman"/>
                <w:sz w:val="18"/>
                <w:szCs w:val="18"/>
              </w:rPr>
            </w:pPr>
          </w:p>
          <w:p>
            <w:pPr>
              <w:pStyle w:val="5"/>
              <w:shd w:val="clear" w:color="auto" w:fill="FFFFFF"/>
              <w:rPr>
                <w:rFonts w:cs="Times New Roman"/>
                <w:sz w:val="18"/>
                <w:szCs w:val="18"/>
              </w:rPr>
            </w:pPr>
          </w:p>
        </w:tc>
        <w:tc>
          <w:tcPr>
            <w:tcW w:w="2256"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11"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53"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08"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742"/>
        <w:gridCol w:w="830"/>
        <w:gridCol w:w="752"/>
        <w:gridCol w:w="3840"/>
        <w:gridCol w:w="2277"/>
        <w:gridCol w:w="6268"/>
        <w:gridCol w:w="1564"/>
        <w:gridCol w:w="4696"/>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718" w:type="dxa"/>
            <w:vAlign w:val="center"/>
          </w:tcPr>
          <w:p>
            <w:pPr>
              <w:spacing w:line="280" w:lineRule="exact"/>
              <w:jc w:val="center"/>
              <w:rPr>
                <w:rFonts w:cs="Times New Roman"/>
                <w:sz w:val="18"/>
                <w:szCs w:val="18"/>
              </w:rPr>
            </w:pPr>
            <w:r>
              <w:rPr>
                <w:rFonts w:cs="Times New Roman"/>
                <w:sz w:val="18"/>
                <w:szCs w:val="18"/>
              </w:rPr>
              <w:t>序号</w:t>
            </w:r>
          </w:p>
        </w:tc>
        <w:tc>
          <w:tcPr>
            <w:tcW w:w="742" w:type="dxa"/>
            <w:vAlign w:val="center"/>
          </w:tcPr>
          <w:p>
            <w:pPr>
              <w:spacing w:line="280" w:lineRule="exact"/>
              <w:jc w:val="center"/>
              <w:rPr>
                <w:rFonts w:cs="Times New Roman"/>
                <w:sz w:val="18"/>
                <w:szCs w:val="18"/>
              </w:rPr>
            </w:pPr>
            <w:r>
              <w:rPr>
                <w:rFonts w:cs="Times New Roman"/>
                <w:sz w:val="18"/>
                <w:szCs w:val="18"/>
              </w:rPr>
              <w:t>权力分类</w:t>
            </w:r>
          </w:p>
        </w:tc>
        <w:tc>
          <w:tcPr>
            <w:tcW w:w="830" w:type="dxa"/>
            <w:vAlign w:val="center"/>
          </w:tcPr>
          <w:p>
            <w:pPr>
              <w:spacing w:line="280" w:lineRule="exact"/>
              <w:jc w:val="center"/>
              <w:rPr>
                <w:rFonts w:cs="Times New Roman"/>
                <w:sz w:val="18"/>
                <w:szCs w:val="18"/>
              </w:rPr>
            </w:pPr>
            <w:r>
              <w:rPr>
                <w:rFonts w:cs="Times New Roman"/>
                <w:sz w:val="18"/>
                <w:szCs w:val="18"/>
              </w:rPr>
              <w:t>项目名称</w:t>
            </w:r>
          </w:p>
        </w:tc>
        <w:tc>
          <w:tcPr>
            <w:tcW w:w="752" w:type="dxa"/>
            <w:vAlign w:val="center"/>
          </w:tcPr>
          <w:p>
            <w:pPr>
              <w:spacing w:line="280" w:lineRule="exact"/>
              <w:jc w:val="center"/>
              <w:rPr>
                <w:rFonts w:cs="Times New Roman"/>
                <w:sz w:val="18"/>
                <w:szCs w:val="18"/>
              </w:rPr>
            </w:pPr>
            <w:r>
              <w:rPr>
                <w:rFonts w:cs="Times New Roman"/>
                <w:sz w:val="18"/>
                <w:szCs w:val="18"/>
              </w:rPr>
              <w:t>子项</w:t>
            </w:r>
          </w:p>
        </w:tc>
        <w:tc>
          <w:tcPr>
            <w:tcW w:w="3840" w:type="dxa"/>
            <w:vAlign w:val="center"/>
          </w:tcPr>
          <w:p>
            <w:pPr>
              <w:spacing w:line="280" w:lineRule="exact"/>
              <w:jc w:val="center"/>
              <w:rPr>
                <w:rFonts w:cs="Times New Roman"/>
                <w:sz w:val="18"/>
                <w:szCs w:val="18"/>
              </w:rPr>
            </w:pPr>
            <w:r>
              <w:rPr>
                <w:rFonts w:cs="Times New Roman"/>
                <w:sz w:val="18"/>
                <w:szCs w:val="18"/>
              </w:rPr>
              <w:t>实施依据</w:t>
            </w:r>
          </w:p>
        </w:tc>
        <w:tc>
          <w:tcPr>
            <w:tcW w:w="2277" w:type="dxa"/>
            <w:vAlign w:val="center"/>
          </w:tcPr>
          <w:p>
            <w:pPr>
              <w:spacing w:line="280" w:lineRule="exact"/>
              <w:jc w:val="center"/>
              <w:rPr>
                <w:rFonts w:cs="Times New Roman"/>
                <w:sz w:val="18"/>
                <w:szCs w:val="18"/>
              </w:rPr>
            </w:pPr>
            <w:r>
              <w:rPr>
                <w:rFonts w:cs="Times New Roman"/>
                <w:sz w:val="18"/>
                <w:szCs w:val="18"/>
              </w:rPr>
              <w:t>责任事项</w:t>
            </w:r>
          </w:p>
        </w:tc>
        <w:tc>
          <w:tcPr>
            <w:tcW w:w="6268" w:type="dxa"/>
            <w:vAlign w:val="center"/>
          </w:tcPr>
          <w:p>
            <w:pPr>
              <w:spacing w:line="280" w:lineRule="exact"/>
              <w:jc w:val="center"/>
              <w:rPr>
                <w:rFonts w:cs="Times New Roman"/>
                <w:sz w:val="18"/>
                <w:szCs w:val="18"/>
              </w:rPr>
            </w:pPr>
            <w:r>
              <w:rPr>
                <w:rFonts w:cs="Times New Roman"/>
                <w:sz w:val="18"/>
                <w:szCs w:val="18"/>
              </w:rPr>
              <w:t>责任事项依据</w:t>
            </w:r>
          </w:p>
        </w:tc>
        <w:tc>
          <w:tcPr>
            <w:tcW w:w="1564" w:type="dxa"/>
            <w:vAlign w:val="center"/>
          </w:tcPr>
          <w:p>
            <w:pPr>
              <w:spacing w:line="280" w:lineRule="exact"/>
              <w:jc w:val="center"/>
              <w:rPr>
                <w:rFonts w:cs="Times New Roman"/>
                <w:sz w:val="18"/>
                <w:szCs w:val="18"/>
              </w:rPr>
            </w:pPr>
            <w:r>
              <w:rPr>
                <w:rFonts w:cs="Times New Roman"/>
                <w:sz w:val="18"/>
                <w:szCs w:val="18"/>
              </w:rPr>
              <w:t>追责情形</w:t>
            </w:r>
          </w:p>
        </w:tc>
        <w:tc>
          <w:tcPr>
            <w:tcW w:w="4696" w:type="dxa"/>
            <w:vAlign w:val="center"/>
          </w:tcPr>
          <w:p>
            <w:pPr>
              <w:spacing w:line="280" w:lineRule="exact"/>
              <w:jc w:val="center"/>
              <w:rPr>
                <w:rFonts w:cs="Times New Roman"/>
                <w:sz w:val="18"/>
                <w:szCs w:val="18"/>
              </w:rPr>
            </w:pPr>
            <w:r>
              <w:rPr>
                <w:rFonts w:cs="Times New Roman"/>
                <w:sz w:val="18"/>
                <w:szCs w:val="18"/>
              </w:rPr>
              <w:t>追责依据</w:t>
            </w:r>
          </w:p>
        </w:tc>
        <w:tc>
          <w:tcPr>
            <w:tcW w:w="613"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85" w:hRule="atLeast"/>
          <w:jc w:val="center"/>
        </w:trPr>
        <w:tc>
          <w:tcPr>
            <w:tcW w:w="718" w:type="dxa"/>
            <w:vAlign w:val="center"/>
          </w:tcPr>
          <w:p>
            <w:pPr>
              <w:spacing w:line="240" w:lineRule="exact"/>
              <w:rPr>
                <w:rFonts w:cs="Times New Roman"/>
                <w:sz w:val="18"/>
                <w:szCs w:val="18"/>
              </w:rPr>
            </w:pPr>
            <w:r>
              <w:rPr>
                <w:rFonts w:hint="eastAsia" w:cs="Times New Roman"/>
                <w:sz w:val="18"/>
                <w:szCs w:val="18"/>
              </w:rPr>
              <w:t>53</w:t>
            </w:r>
          </w:p>
        </w:tc>
        <w:tc>
          <w:tcPr>
            <w:tcW w:w="742"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30" w:type="dxa"/>
            <w:vAlign w:val="center"/>
          </w:tcPr>
          <w:p>
            <w:pPr>
              <w:spacing w:line="240" w:lineRule="exact"/>
              <w:rPr>
                <w:rFonts w:cs="Times New Roman"/>
                <w:sz w:val="18"/>
                <w:szCs w:val="18"/>
              </w:rPr>
            </w:pPr>
            <w:r>
              <w:rPr>
                <w:rFonts w:hint="eastAsia" w:cs="Times New Roman"/>
                <w:sz w:val="18"/>
                <w:szCs w:val="18"/>
              </w:rPr>
              <w:t>对林木种子进出口过程中违法行为的处罚</w:t>
            </w:r>
          </w:p>
        </w:tc>
        <w:tc>
          <w:tcPr>
            <w:tcW w:w="752" w:type="dxa"/>
            <w:vAlign w:val="center"/>
          </w:tcPr>
          <w:p>
            <w:pPr>
              <w:spacing w:line="240" w:lineRule="exact"/>
              <w:rPr>
                <w:rFonts w:cs="Times New Roman"/>
                <w:sz w:val="18"/>
                <w:szCs w:val="18"/>
              </w:rPr>
            </w:pPr>
            <w:r>
              <w:rPr>
                <w:rFonts w:cs="Times New Roman"/>
                <w:sz w:val="18"/>
                <w:szCs w:val="18"/>
              </w:rPr>
              <w:t>　</w:t>
            </w:r>
          </w:p>
        </w:tc>
        <w:tc>
          <w:tcPr>
            <w:tcW w:w="3840" w:type="dxa"/>
            <w:vAlign w:val="center"/>
          </w:tcPr>
          <w:p>
            <w:pPr>
              <w:pStyle w:val="5"/>
              <w:shd w:val="clear" w:color="auto" w:fill="FFFFFF"/>
              <w:spacing w:line="240" w:lineRule="exact"/>
              <w:ind w:firstLine="360" w:firstLineChars="20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）第七十九条　违反本法第五十八条、第六十条、第六十一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情节严重的，吊销种子生产经营许可证：（一）未经许可进出口种子的；（二）为境外制种的种子在境内销售的；（三）从境外引进农作物或者林木种子进行引种试验的收获物作为种子在境内销售的；（四）进出口假、劣种子或者属于国家规定不得进出口的种子的。</w:t>
            </w:r>
          </w:p>
          <w:p>
            <w:pPr>
              <w:spacing w:line="240" w:lineRule="exact"/>
              <w:ind w:firstLine="450" w:firstLineChars="250"/>
              <w:rPr>
                <w:rFonts w:cs="Times New Roman"/>
                <w:sz w:val="18"/>
                <w:szCs w:val="18"/>
              </w:rPr>
            </w:pPr>
          </w:p>
          <w:p>
            <w:pPr>
              <w:pStyle w:val="5"/>
              <w:shd w:val="clear" w:color="auto" w:fill="FFFFFF"/>
              <w:spacing w:line="240" w:lineRule="exact"/>
              <w:ind w:firstLine="360" w:firstLineChars="200"/>
              <w:rPr>
                <w:rFonts w:cs="Times New Roman"/>
                <w:sz w:val="18"/>
                <w:szCs w:val="18"/>
              </w:rPr>
            </w:pPr>
          </w:p>
          <w:p>
            <w:pPr>
              <w:pStyle w:val="5"/>
              <w:shd w:val="clear" w:color="auto" w:fill="FFFFFF"/>
              <w:spacing w:line="240" w:lineRule="exact"/>
              <w:rPr>
                <w:rFonts w:cs="Times New Roman"/>
                <w:sz w:val="18"/>
                <w:szCs w:val="18"/>
              </w:rPr>
            </w:pPr>
          </w:p>
        </w:tc>
        <w:tc>
          <w:tcPr>
            <w:tcW w:w="2277"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68"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w:t>
            </w:r>
            <w:r>
              <w:rPr>
                <w:rFonts w:hint="eastAsia" w:cs="Times New Roman"/>
                <w:sz w:val="18"/>
                <w:szCs w:val="18"/>
              </w:rPr>
              <w:t>；</w:t>
            </w:r>
            <w:r>
              <w:rPr>
                <w:rFonts w:cs="Times New Roman"/>
                <w:sz w:val="18"/>
                <w:szCs w:val="18"/>
              </w:rPr>
              <w:t>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4"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96"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3"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702"/>
        <w:gridCol w:w="865"/>
        <w:gridCol w:w="692"/>
        <w:gridCol w:w="3884"/>
        <w:gridCol w:w="2268"/>
        <w:gridCol w:w="6245"/>
        <w:gridCol w:w="1560"/>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715" w:type="dxa"/>
            <w:vAlign w:val="center"/>
          </w:tcPr>
          <w:p>
            <w:pPr>
              <w:spacing w:line="280" w:lineRule="exact"/>
              <w:jc w:val="center"/>
              <w:rPr>
                <w:rFonts w:cs="Times New Roman"/>
                <w:sz w:val="18"/>
                <w:szCs w:val="18"/>
              </w:rPr>
            </w:pPr>
            <w:r>
              <w:rPr>
                <w:rFonts w:cs="Times New Roman"/>
                <w:sz w:val="18"/>
                <w:szCs w:val="18"/>
              </w:rPr>
              <w:t>序号</w:t>
            </w:r>
          </w:p>
        </w:tc>
        <w:tc>
          <w:tcPr>
            <w:tcW w:w="702" w:type="dxa"/>
            <w:vAlign w:val="center"/>
          </w:tcPr>
          <w:p>
            <w:pPr>
              <w:spacing w:line="280" w:lineRule="exact"/>
              <w:jc w:val="center"/>
              <w:rPr>
                <w:rFonts w:cs="Times New Roman"/>
                <w:sz w:val="18"/>
                <w:szCs w:val="18"/>
              </w:rPr>
            </w:pPr>
            <w:r>
              <w:rPr>
                <w:rFonts w:cs="Times New Roman"/>
                <w:sz w:val="18"/>
                <w:szCs w:val="18"/>
              </w:rPr>
              <w:t>权力分类</w:t>
            </w:r>
          </w:p>
        </w:tc>
        <w:tc>
          <w:tcPr>
            <w:tcW w:w="865" w:type="dxa"/>
            <w:vAlign w:val="center"/>
          </w:tcPr>
          <w:p>
            <w:pPr>
              <w:spacing w:line="280" w:lineRule="exact"/>
              <w:jc w:val="center"/>
              <w:rPr>
                <w:rFonts w:cs="Times New Roman"/>
                <w:sz w:val="18"/>
                <w:szCs w:val="18"/>
              </w:rPr>
            </w:pPr>
            <w:r>
              <w:rPr>
                <w:rFonts w:cs="Times New Roman"/>
                <w:sz w:val="18"/>
                <w:szCs w:val="18"/>
              </w:rPr>
              <w:t>项目名称</w:t>
            </w:r>
          </w:p>
        </w:tc>
        <w:tc>
          <w:tcPr>
            <w:tcW w:w="692" w:type="dxa"/>
            <w:vAlign w:val="center"/>
          </w:tcPr>
          <w:p>
            <w:pPr>
              <w:spacing w:line="280" w:lineRule="exact"/>
              <w:jc w:val="center"/>
              <w:rPr>
                <w:rFonts w:cs="Times New Roman"/>
                <w:sz w:val="18"/>
                <w:szCs w:val="18"/>
              </w:rPr>
            </w:pPr>
            <w:r>
              <w:rPr>
                <w:rFonts w:cs="Times New Roman"/>
                <w:sz w:val="18"/>
                <w:szCs w:val="18"/>
              </w:rPr>
              <w:t>子项</w:t>
            </w:r>
          </w:p>
        </w:tc>
        <w:tc>
          <w:tcPr>
            <w:tcW w:w="3884" w:type="dxa"/>
            <w:vAlign w:val="center"/>
          </w:tcPr>
          <w:p>
            <w:pPr>
              <w:spacing w:line="280" w:lineRule="exact"/>
              <w:jc w:val="center"/>
              <w:rPr>
                <w:rFonts w:cs="Times New Roman"/>
                <w:sz w:val="18"/>
                <w:szCs w:val="18"/>
              </w:rPr>
            </w:pPr>
            <w:r>
              <w:rPr>
                <w:rFonts w:cs="Times New Roman"/>
                <w:sz w:val="18"/>
                <w:szCs w:val="18"/>
              </w:rPr>
              <w:t>实施依据</w:t>
            </w:r>
          </w:p>
        </w:tc>
        <w:tc>
          <w:tcPr>
            <w:tcW w:w="2268" w:type="dxa"/>
            <w:vAlign w:val="center"/>
          </w:tcPr>
          <w:p>
            <w:pPr>
              <w:spacing w:line="280" w:lineRule="exact"/>
              <w:jc w:val="center"/>
              <w:rPr>
                <w:rFonts w:cs="Times New Roman"/>
                <w:sz w:val="18"/>
                <w:szCs w:val="18"/>
              </w:rPr>
            </w:pPr>
            <w:r>
              <w:rPr>
                <w:rFonts w:cs="Times New Roman"/>
                <w:sz w:val="18"/>
                <w:szCs w:val="18"/>
              </w:rPr>
              <w:t>责任事项</w:t>
            </w:r>
          </w:p>
        </w:tc>
        <w:tc>
          <w:tcPr>
            <w:tcW w:w="6245" w:type="dxa"/>
            <w:vAlign w:val="center"/>
          </w:tcPr>
          <w:p>
            <w:pPr>
              <w:spacing w:line="280" w:lineRule="exact"/>
              <w:jc w:val="center"/>
              <w:rPr>
                <w:rFonts w:cs="Times New Roman"/>
                <w:sz w:val="18"/>
                <w:szCs w:val="18"/>
              </w:rPr>
            </w:pPr>
            <w:r>
              <w:rPr>
                <w:rFonts w:cs="Times New Roman"/>
                <w:sz w:val="18"/>
                <w:szCs w:val="18"/>
              </w:rPr>
              <w:t>责任事项依据</w:t>
            </w:r>
          </w:p>
        </w:tc>
        <w:tc>
          <w:tcPr>
            <w:tcW w:w="1560"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4" w:hRule="atLeast"/>
          <w:jc w:val="center"/>
        </w:trPr>
        <w:tc>
          <w:tcPr>
            <w:tcW w:w="715" w:type="dxa"/>
            <w:vAlign w:val="center"/>
          </w:tcPr>
          <w:p>
            <w:pPr>
              <w:spacing w:line="240" w:lineRule="exact"/>
              <w:rPr>
                <w:rFonts w:cs="Times New Roman"/>
                <w:sz w:val="18"/>
                <w:szCs w:val="18"/>
              </w:rPr>
            </w:pPr>
            <w:r>
              <w:rPr>
                <w:rFonts w:hint="eastAsia" w:cs="Times New Roman"/>
                <w:sz w:val="18"/>
                <w:szCs w:val="18"/>
              </w:rPr>
              <w:t>54</w:t>
            </w:r>
          </w:p>
        </w:tc>
        <w:tc>
          <w:tcPr>
            <w:tcW w:w="702"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65" w:type="dxa"/>
            <w:vAlign w:val="center"/>
          </w:tcPr>
          <w:p>
            <w:pPr>
              <w:spacing w:line="240" w:lineRule="exact"/>
              <w:rPr>
                <w:rFonts w:cs="Times New Roman"/>
                <w:sz w:val="18"/>
                <w:szCs w:val="18"/>
              </w:rPr>
            </w:pPr>
            <w:r>
              <w:rPr>
                <w:rFonts w:hint="eastAsia" w:cs="Times New Roman"/>
                <w:sz w:val="18"/>
                <w:szCs w:val="18"/>
              </w:rPr>
              <w:t>对林木种子销售过程中没有按规定进行包装等行为的处罚</w:t>
            </w:r>
          </w:p>
        </w:tc>
        <w:tc>
          <w:tcPr>
            <w:tcW w:w="692" w:type="dxa"/>
            <w:vAlign w:val="center"/>
          </w:tcPr>
          <w:p>
            <w:pPr>
              <w:spacing w:line="240" w:lineRule="exact"/>
              <w:rPr>
                <w:rFonts w:cs="Times New Roman"/>
                <w:sz w:val="18"/>
                <w:szCs w:val="18"/>
              </w:rPr>
            </w:pPr>
            <w:r>
              <w:rPr>
                <w:rFonts w:cs="Times New Roman"/>
                <w:sz w:val="18"/>
                <w:szCs w:val="18"/>
              </w:rPr>
              <w:t>　</w:t>
            </w:r>
          </w:p>
        </w:tc>
        <w:tc>
          <w:tcPr>
            <w:tcW w:w="3884" w:type="dxa"/>
            <w:vAlign w:val="center"/>
          </w:tcPr>
          <w:p>
            <w:pPr>
              <w:pStyle w:val="5"/>
              <w:shd w:val="clear" w:color="auto" w:fill="FFFFFF"/>
              <w:spacing w:line="240" w:lineRule="exact"/>
              <w:ind w:firstLine="360" w:firstLineChars="20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八十条违反本法第三十六条、第三十八条、第四十条、第四十一条规定，有下列行为之一的，由县级以上人民政府农业、林业主管部门责令改正，处二千元以上二万元以下罚款：（一）销售的种子应当包装而没有包装的；（二）销售的种子没有使用说明或者标签内容不符合规定的；（三）涂改标签的；（四）未按规定建立、保存种子生产经营档案的；（五）种子生产经营者在异地设立分支机构、专门经营不再分装的包装种子或者受委托生产、代销种子，未按规定备案的。</w:t>
            </w:r>
          </w:p>
          <w:p>
            <w:pPr>
              <w:pStyle w:val="5"/>
              <w:shd w:val="clear" w:color="auto" w:fill="FFFFFF"/>
              <w:spacing w:line="240" w:lineRule="exact"/>
              <w:ind w:firstLine="360" w:firstLineChars="200"/>
              <w:rPr>
                <w:rFonts w:cs="Times New Roman"/>
                <w:sz w:val="18"/>
                <w:szCs w:val="18"/>
              </w:rPr>
            </w:pPr>
          </w:p>
          <w:p>
            <w:pPr>
              <w:spacing w:line="240" w:lineRule="exact"/>
              <w:ind w:firstLine="450" w:firstLineChars="250"/>
              <w:rPr>
                <w:rFonts w:cs="Times New Roman"/>
                <w:sz w:val="18"/>
                <w:szCs w:val="18"/>
              </w:rPr>
            </w:pPr>
          </w:p>
          <w:p>
            <w:pPr>
              <w:pStyle w:val="5"/>
              <w:shd w:val="clear" w:color="auto" w:fill="FFFFFF"/>
              <w:spacing w:line="240" w:lineRule="exact"/>
              <w:ind w:firstLine="360" w:firstLineChars="200"/>
              <w:rPr>
                <w:rFonts w:cs="Times New Roman"/>
                <w:sz w:val="18"/>
                <w:szCs w:val="18"/>
              </w:rPr>
            </w:pPr>
          </w:p>
          <w:p>
            <w:pPr>
              <w:pStyle w:val="5"/>
              <w:shd w:val="clear" w:color="auto" w:fill="FFFFFF"/>
              <w:spacing w:line="240" w:lineRule="exact"/>
              <w:rPr>
                <w:rFonts w:cs="Times New Roman"/>
                <w:sz w:val="18"/>
                <w:szCs w:val="18"/>
              </w:rPr>
            </w:pPr>
          </w:p>
        </w:tc>
        <w:tc>
          <w:tcPr>
            <w:tcW w:w="2268"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4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w:t>
            </w:r>
            <w:r>
              <w:rPr>
                <w:rFonts w:hint="eastAsia" w:cs="Times New Roman"/>
                <w:sz w:val="18"/>
                <w:szCs w:val="18"/>
              </w:rPr>
              <w:t>；</w:t>
            </w:r>
            <w:r>
              <w:rPr>
                <w:rFonts w:cs="Times New Roman"/>
                <w:sz w:val="18"/>
                <w:szCs w:val="18"/>
              </w:rPr>
              <w:t>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758"/>
        <w:gridCol w:w="825"/>
        <w:gridCol w:w="710"/>
        <w:gridCol w:w="3857"/>
        <w:gridCol w:w="2264"/>
        <w:gridCol w:w="6235"/>
        <w:gridCol w:w="1556"/>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695" w:type="dxa"/>
            <w:vAlign w:val="center"/>
          </w:tcPr>
          <w:p>
            <w:pPr>
              <w:spacing w:line="280" w:lineRule="exact"/>
              <w:jc w:val="center"/>
              <w:rPr>
                <w:rFonts w:cs="Times New Roman"/>
                <w:sz w:val="18"/>
                <w:szCs w:val="18"/>
              </w:rPr>
            </w:pPr>
            <w:r>
              <w:rPr>
                <w:rFonts w:cs="Times New Roman"/>
                <w:sz w:val="18"/>
                <w:szCs w:val="18"/>
              </w:rPr>
              <w:t>序号</w:t>
            </w:r>
          </w:p>
        </w:tc>
        <w:tc>
          <w:tcPr>
            <w:tcW w:w="758" w:type="dxa"/>
            <w:vAlign w:val="center"/>
          </w:tcPr>
          <w:p>
            <w:pPr>
              <w:spacing w:line="280" w:lineRule="exact"/>
              <w:jc w:val="center"/>
              <w:rPr>
                <w:rFonts w:cs="Times New Roman"/>
                <w:sz w:val="18"/>
                <w:szCs w:val="18"/>
              </w:rPr>
            </w:pPr>
            <w:r>
              <w:rPr>
                <w:rFonts w:cs="Times New Roman"/>
                <w:sz w:val="18"/>
                <w:szCs w:val="18"/>
              </w:rPr>
              <w:t>权力分类</w:t>
            </w:r>
          </w:p>
        </w:tc>
        <w:tc>
          <w:tcPr>
            <w:tcW w:w="825" w:type="dxa"/>
            <w:vAlign w:val="center"/>
          </w:tcPr>
          <w:p>
            <w:pPr>
              <w:spacing w:line="280" w:lineRule="exact"/>
              <w:jc w:val="center"/>
              <w:rPr>
                <w:rFonts w:cs="Times New Roman"/>
                <w:sz w:val="18"/>
                <w:szCs w:val="18"/>
              </w:rPr>
            </w:pPr>
            <w:r>
              <w:rPr>
                <w:rFonts w:cs="Times New Roman"/>
                <w:sz w:val="18"/>
                <w:szCs w:val="18"/>
              </w:rPr>
              <w:t>项目名称</w:t>
            </w:r>
          </w:p>
        </w:tc>
        <w:tc>
          <w:tcPr>
            <w:tcW w:w="710" w:type="dxa"/>
            <w:vAlign w:val="center"/>
          </w:tcPr>
          <w:p>
            <w:pPr>
              <w:spacing w:line="280" w:lineRule="exact"/>
              <w:jc w:val="center"/>
              <w:rPr>
                <w:rFonts w:cs="Times New Roman"/>
                <w:sz w:val="18"/>
                <w:szCs w:val="18"/>
              </w:rPr>
            </w:pPr>
            <w:r>
              <w:rPr>
                <w:rFonts w:cs="Times New Roman"/>
                <w:sz w:val="18"/>
                <w:szCs w:val="18"/>
              </w:rPr>
              <w:t>子项</w:t>
            </w:r>
          </w:p>
        </w:tc>
        <w:tc>
          <w:tcPr>
            <w:tcW w:w="3857" w:type="dxa"/>
            <w:vAlign w:val="center"/>
          </w:tcPr>
          <w:p>
            <w:pPr>
              <w:spacing w:line="280" w:lineRule="exact"/>
              <w:jc w:val="center"/>
              <w:rPr>
                <w:rFonts w:cs="Times New Roman"/>
                <w:sz w:val="18"/>
                <w:szCs w:val="18"/>
              </w:rPr>
            </w:pPr>
            <w:r>
              <w:rPr>
                <w:rFonts w:cs="Times New Roman"/>
                <w:sz w:val="18"/>
                <w:szCs w:val="18"/>
              </w:rPr>
              <w:t>实施依据</w:t>
            </w:r>
          </w:p>
        </w:tc>
        <w:tc>
          <w:tcPr>
            <w:tcW w:w="2264" w:type="dxa"/>
            <w:vAlign w:val="center"/>
          </w:tcPr>
          <w:p>
            <w:pPr>
              <w:spacing w:line="280" w:lineRule="exact"/>
              <w:jc w:val="center"/>
              <w:rPr>
                <w:rFonts w:cs="Times New Roman"/>
                <w:sz w:val="18"/>
                <w:szCs w:val="18"/>
              </w:rPr>
            </w:pPr>
            <w:r>
              <w:rPr>
                <w:rFonts w:cs="Times New Roman"/>
                <w:sz w:val="18"/>
                <w:szCs w:val="18"/>
              </w:rPr>
              <w:t>责任事项</w:t>
            </w:r>
          </w:p>
        </w:tc>
        <w:tc>
          <w:tcPr>
            <w:tcW w:w="6235" w:type="dxa"/>
            <w:vAlign w:val="center"/>
          </w:tcPr>
          <w:p>
            <w:pPr>
              <w:spacing w:line="280" w:lineRule="exact"/>
              <w:jc w:val="center"/>
              <w:rPr>
                <w:rFonts w:cs="Times New Roman"/>
                <w:sz w:val="18"/>
                <w:szCs w:val="18"/>
              </w:rPr>
            </w:pPr>
            <w:r>
              <w:rPr>
                <w:rFonts w:cs="Times New Roman"/>
                <w:sz w:val="18"/>
                <w:szCs w:val="18"/>
              </w:rPr>
              <w:t>责任事项依据</w:t>
            </w:r>
          </w:p>
        </w:tc>
        <w:tc>
          <w:tcPr>
            <w:tcW w:w="1556"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5" w:hRule="atLeast"/>
          <w:jc w:val="center"/>
        </w:trPr>
        <w:tc>
          <w:tcPr>
            <w:tcW w:w="695" w:type="dxa"/>
            <w:vAlign w:val="center"/>
          </w:tcPr>
          <w:p>
            <w:pPr>
              <w:spacing w:line="240" w:lineRule="exact"/>
              <w:rPr>
                <w:rFonts w:cs="Times New Roman"/>
                <w:sz w:val="18"/>
                <w:szCs w:val="18"/>
              </w:rPr>
            </w:pPr>
            <w:r>
              <w:rPr>
                <w:rFonts w:hint="eastAsia" w:cs="Times New Roman"/>
                <w:sz w:val="18"/>
                <w:szCs w:val="18"/>
              </w:rPr>
              <w:t>55</w:t>
            </w:r>
          </w:p>
        </w:tc>
        <w:tc>
          <w:tcPr>
            <w:tcW w:w="758"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25" w:type="dxa"/>
            <w:vAlign w:val="center"/>
          </w:tcPr>
          <w:p>
            <w:pPr>
              <w:spacing w:line="240" w:lineRule="exact"/>
              <w:rPr>
                <w:rFonts w:cs="Times New Roman"/>
                <w:sz w:val="18"/>
                <w:szCs w:val="18"/>
              </w:rPr>
            </w:pPr>
            <w:r>
              <w:rPr>
                <w:rFonts w:cs="Times New Roman"/>
                <w:sz w:val="18"/>
                <w:szCs w:val="18"/>
              </w:rPr>
              <w:t>对侵占、破坏种质资源或私自采集、采伐国家重点保护的天然种质资源的处罚</w:t>
            </w:r>
          </w:p>
        </w:tc>
        <w:tc>
          <w:tcPr>
            <w:tcW w:w="710" w:type="dxa"/>
            <w:vAlign w:val="center"/>
          </w:tcPr>
          <w:p>
            <w:pPr>
              <w:spacing w:line="240" w:lineRule="exact"/>
              <w:rPr>
                <w:rFonts w:cs="Times New Roman"/>
                <w:sz w:val="18"/>
                <w:szCs w:val="18"/>
              </w:rPr>
            </w:pPr>
            <w:r>
              <w:rPr>
                <w:rFonts w:cs="Times New Roman"/>
                <w:sz w:val="18"/>
                <w:szCs w:val="18"/>
              </w:rPr>
              <w:t>　</w:t>
            </w:r>
          </w:p>
        </w:tc>
        <w:tc>
          <w:tcPr>
            <w:tcW w:w="3857" w:type="dxa"/>
            <w:vAlign w:val="center"/>
          </w:tcPr>
          <w:p>
            <w:pPr>
              <w:pStyle w:val="5"/>
              <w:shd w:val="clear" w:color="auto" w:fill="FFFFFF"/>
              <w:spacing w:line="240" w:lineRule="exact"/>
              <w:ind w:firstLine="360" w:firstLineChars="200"/>
              <w:rPr>
                <w:color w:val="6A6A6A"/>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八十一条违反本法第八条规定，侵占、破坏种质资源，私自采集或者采伐国家重点保护的天然种质资源的，由县级以上人民政府农业、林业主管部门责令停止违法行为，没收种质资源和违法所得，并处五千元以上五万元以下罚款；造成损失的，依法承担赔偿责任。</w:t>
            </w:r>
          </w:p>
          <w:p>
            <w:pPr>
              <w:pStyle w:val="5"/>
              <w:shd w:val="clear" w:color="auto" w:fill="FFFFFF"/>
              <w:spacing w:line="240" w:lineRule="exact"/>
              <w:ind w:firstLine="360" w:firstLineChars="200"/>
              <w:rPr>
                <w:rFonts w:cs="Times New Roman"/>
                <w:sz w:val="18"/>
                <w:szCs w:val="18"/>
              </w:rPr>
            </w:pPr>
          </w:p>
        </w:tc>
        <w:tc>
          <w:tcPr>
            <w:tcW w:w="2264"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3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w:t>
            </w:r>
            <w:r>
              <w:rPr>
                <w:rFonts w:hint="eastAsia" w:cs="Times New Roman"/>
                <w:sz w:val="18"/>
                <w:szCs w:val="18"/>
              </w:rPr>
              <w:t>；</w:t>
            </w:r>
            <w:r>
              <w:rPr>
                <w:rFonts w:cs="Times New Roman"/>
                <w:sz w:val="18"/>
                <w:szCs w:val="18"/>
              </w:rPr>
              <w:t>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6"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721"/>
        <w:gridCol w:w="827"/>
        <w:gridCol w:w="768"/>
        <w:gridCol w:w="3808"/>
        <w:gridCol w:w="2268"/>
        <w:gridCol w:w="6245"/>
        <w:gridCol w:w="1560"/>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734" w:type="dxa"/>
            <w:vAlign w:val="center"/>
          </w:tcPr>
          <w:p>
            <w:pPr>
              <w:spacing w:line="280" w:lineRule="exact"/>
              <w:jc w:val="center"/>
              <w:rPr>
                <w:rFonts w:cs="Times New Roman"/>
                <w:sz w:val="18"/>
                <w:szCs w:val="18"/>
              </w:rPr>
            </w:pPr>
            <w:r>
              <w:rPr>
                <w:rFonts w:cs="Times New Roman"/>
                <w:sz w:val="18"/>
                <w:szCs w:val="18"/>
              </w:rPr>
              <w:t>序号</w:t>
            </w:r>
          </w:p>
        </w:tc>
        <w:tc>
          <w:tcPr>
            <w:tcW w:w="721" w:type="dxa"/>
            <w:vAlign w:val="center"/>
          </w:tcPr>
          <w:p>
            <w:pPr>
              <w:spacing w:line="280" w:lineRule="exact"/>
              <w:jc w:val="center"/>
              <w:rPr>
                <w:rFonts w:cs="Times New Roman"/>
                <w:sz w:val="18"/>
                <w:szCs w:val="18"/>
              </w:rPr>
            </w:pPr>
            <w:r>
              <w:rPr>
                <w:rFonts w:cs="Times New Roman"/>
                <w:sz w:val="18"/>
                <w:szCs w:val="18"/>
              </w:rPr>
              <w:t>权力分类</w:t>
            </w:r>
          </w:p>
        </w:tc>
        <w:tc>
          <w:tcPr>
            <w:tcW w:w="827" w:type="dxa"/>
            <w:vAlign w:val="center"/>
          </w:tcPr>
          <w:p>
            <w:pPr>
              <w:spacing w:line="280" w:lineRule="exact"/>
              <w:jc w:val="center"/>
              <w:rPr>
                <w:rFonts w:cs="Times New Roman"/>
                <w:sz w:val="18"/>
                <w:szCs w:val="18"/>
              </w:rPr>
            </w:pPr>
            <w:r>
              <w:rPr>
                <w:rFonts w:cs="Times New Roman"/>
                <w:sz w:val="18"/>
                <w:szCs w:val="18"/>
              </w:rPr>
              <w:t>项目名称</w:t>
            </w:r>
          </w:p>
        </w:tc>
        <w:tc>
          <w:tcPr>
            <w:tcW w:w="768" w:type="dxa"/>
            <w:vAlign w:val="center"/>
          </w:tcPr>
          <w:p>
            <w:pPr>
              <w:spacing w:line="280" w:lineRule="exact"/>
              <w:jc w:val="center"/>
              <w:rPr>
                <w:rFonts w:cs="Times New Roman"/>
                <w:sz w:val="18"/>
                <w:szCs w:val="18"/>
              </w:rPr>
            </w:pPr>
            <w:r>
              <w:rPr>
                <w:rFonts w:cs="Times New Roman"/>
                <w:sz w:val="18"/>
                <w:szCs w:val="18"/>
              </w:rPr>
              <w:t>子项</w:t>
            </w:r>
          </w:p>
        </w:tc>
        <w:tc>
          <w:tcPr>
            <w:tcW w:w="3808" w:type="dxa"/>
            <w:vAlign w:val="center"/>
          </w:tcPr>
          <w:p>
            <w:pPr>
              <w:spacing w:line="280" w:lineRule="exact"/>
              <w:jc w:val="center"/>
              <w:rPr>
                <w:rFonts w:cs="Times New Roman"/>
                <w:sz w:val="18"/>
                <w:szCs w:val="18"/>
              </w:rPr>
            </w:pPr>
            <w:r>
              <w:rPr>
                <w:rFonts w:cs="Times New Roman"/>
                <w:sz w:val="18"/>
                <w:szCs w:val="18"/>
              </w:rPr>
              <w:t>实施依据</w:t>
            </w:r>
          </w:p>
        </w:tc>
        <w:tc>
          <w:tcPr>
            <w:tcW w:w="2268" w:type="dxa"/>
            <w:vAlign w:val="center"/>
          </w:tcPr>
          <w:p>
            <w:pPr>
              <w:spacing w:line="280" w:lineRule="exact"/>
              <w:jc w:val="center"/>
              <w:rPr>
                <w:rFonts w:cs="Times New Roman"/>
                <w:sz w:val="18"/>
                <w:szCs w:val="18"/>
              </w:rPr>
            </w:pPr>
            <w:r>
              <w:rPr>
                <w:rFonts w:cs="Times New Roman"/>
                <w:sz w:val="18"/>
                <w:szCs w:val="18"/>
              </w:rPr>
              <w:t>责任事项</w:t>
            </w:r>
          </w:p>
        </w:tc>
        <w:tc>
          <w:tcPr>
            <w:tcW w:w="6245" w:type="dxa"/>
            <w:vAlign w:val="center"/>
          </w:tcPr>
          <w:p>
            <w:pPr>
              <w:spacing w:line="280" w:lineRule="exact"/>
              <w:jc w:val="center"/>
              <w:rPr>
                <w:rFonts w:cs="Times New Roman"/>
                <w:sz w:val="18"/>
                <w:szCs w:val="18"/>
              </w:rPr>
            </w:pPr>
            <w:r>
              <w:rPr>
                <w:rFonts w:cs="Times New Roman"/>
                <w:sz w:val="18"/>
                <w:szCs w:val="18"/>
              </w:rPr>
              <w:t>责任事项依据</w:t>
            </w:r>
          </w:p>
        </w:tc>
        <w:tc>
          <w:tcPr>
            <w:tcW w:w="1560"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3" w:hRule="atLeast"/>
          <w:jc w:val="center"/>
        </w:trPr>
        <w:tc>
          <w:tcPr>
            <w:tcW w:w="734" w:type="dxa"/>
            <w:vAlign w:val="center"/>
          </w:tcPr>
          <w:p>
            <w:pPr>
              <w:spacing w:line="240" w:lineRule="exact"/>
              <w:rPr>
                <w:rFonts w:cs="Times New Roman"/>
                <w:sz w:val="18"/>
                <w:szCs w:val="18"/>
              </w:rPr>
            </w:pPr>
            <w:r>
              <w:rPr>
                <w:rFonts w:hint="eastAsia" w:cs="Times New Roman"/>
                <w:sz w:val="18"/>
                <w:szCs w:val="18"/>
              </w:rPr>
              <w:t>56</w:t>
            </w:r>
          </w:p>
        </w:tc>
        <w:tc>
          <w:tcPr>
            <w:tcW w:w="72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27" w:type="dxa"/>
            <w:vAlign w:val="center"/>
          </w:tcPr>
          <w:p>
            <w:pPr>
              <w:spacing w:line="240" w:lineRule="exact"/>
              <w:rPr>
                <w:rFonts w:cs="Times New Roman"/>
                <w:sz w:val="18"/>
                <w:szCs w:val="18"/>
              </w:rPr>
            </w:pPr>
            <w:r>
              <w:rPr>
                <w:rFonts w:hint="eastAsia" w:cs="Times New Roman"/>
                <w:sz w:val="18"/>
                <w:szCs w:val="18"/>
              </w:rPr>
              <w:t>自然保护区管理机构拒绝监督检查，或者在被检查时弄虚作假的处罚</w:t>
            </w:r>
          </w:p>
        </w:tc>
        <w:tc>
          <w:tcPr>
            <w:tcW w:w="768" w:type="dxa"/>
            <w:vAlign w:val="center"/>
          </w:tcPr>
          <w:p>
            <w:pPr>
              <w:spacing w:line="240" w:lineRule="exact"/>
              <w:rPr>
                <w:rFonts w:cs="Times New Roman"/>
                <w:sz w:val="18"/>
                <w:szCs w:val="18"/>
              </w:rPr>
            </w:pPr>
            <w:r>
              <w:rPr>
                <w:rFonts w:cs="Times New Roman"/>
                <w:sz w:val="18"/>
                <w:szCs w:val="18"/>
              </w:rPr>
              <w:t>　</w:t>
            </w:r>
          </w:p>
        </w:tc>
        <w:tc>
          <w:tcPr>
            <w:tcW w:w="3808" w:type="dxa"/>
            <w:vAlign w:val="center"/>
          </w:tcPr>
          <w:p>
            <w:pPr>
              <w:pStyle w:val="5"/>
              <w:shd w:val="clear" w:color="auto" w:fill="FFFFFF"/>
              <w:spacing w:line="240" w:lineRule="exact"/>
              <w:ind w:firstLine="360" w:firstLineChars="200"/>
              <w:rPr>
                <w:rFonts w:cs="Times New Roman"/>
                <w:sz w:val="18"/>
                <w:szCs w:val="18"/>
              </w:rPr>
            </w:pPr>
            <w:r>
              <w:rPr>
                <w:rFonts w:cs="Times New Roman"/>
                <w:sz w:val="18"/>
                <w:szCs w:val="18"/>
              </w:rPr>
              <w:t>【法律】《中华人民共和国自然保护区条例》（1994年10月9日中华人民共和国国务院令第167号发布，2011年1月8日国务院令第588号修改）</w:t>
            </w:r>
            <w:r>
              <w:rPr>
                <w:rFonts w:hint="eastAsia" w:cs="Times New Roman"/>
                <w:bCs/>
                <w:sz w:val="18"/>
                <w:szCs w:val="18"/>
              </w:rPr>
              <w:t>第三十六条</w:t>
            </w:r>
            <w:r>
              <w:rPr>
                <w:rFonts w:hint="eastAsia" w:cs="Times New Roman"/>
                <w:sz w:val="18"/>
                <w:szCs w:val="18"/>
              </w:rPr>
              <w:t> 自然保护区管理机构违反本条例规定，拒绝环境保护行政主管部门或者有关自然保护区行政主管部门监督检查，或者在被检查时弄虚作假的，由县级以上人民政府环境保护行政主管部门或者有关自然保护区行政主管部门给予300元以上3000元以下的罚款。</w:t>
            </w:r>
          </w:p>
        </w:tc>
        <w:tc>
          <w:tcPr>
            <w:tcW w:w="2268"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45" w:type="dxa"/>
            <w:vAlign w:val="center"/>
          </w:tcPr>
          <w:p>
            <w:pPr>
              <w:spacing w:line="240" w:lineRule="exact"/>
              <w:ind w:firstLine="360" w:firstLineChars="20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 xml:space="preserve">    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 xml:space="preserve">    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w:t>
            </w:r>
            <w:r>
              <w:rPr>
                <w:rFonts w:hint="eastAsia" w:cs="Times New Roman"/>
                <w:sz w:val="18"/>
                <w:szCs w:val="18"/>
              </w:rPr>
              <w:t>；</w:t>
            </w:r>
            <w:r>
              <w:rPr>
                <w:rFonts w:cs="Times New Roman"/>
                <w:sz w:val="18"/>
                <w:szCs w:val="18"/>
              </w:rPr>
              <w:t>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710"/>
        <w:gridCol w:w="856"/>
        <w:gridCol w:w="777"/>
        <w:gridCol w:w="3852"/>
        <w:gridCol w:w="2295"/>
        <w:gridCol w:w="6318"/>
        <w:gridCol w:w="1578"/>
        <w:gridCol w:w="4733"/>
        <w:gridCol w:w="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743" w:type="dxa"/>
            <w:vAlign w:val="center"/>
          </w:tcPr>
          <w:p>
            <w:pPr>
              <w:spacing w:line="280" w:lineRule="exact"/>
              <w:jc w:val="center"/>
              <w:rPr>
                <w:rFonts w:cs="Times New Roman"/>
                <w:sz w:val="18"/>
                <w:szCs w:val="18"/>
              </w:rPr>
            </w:pPr>
            <w:r>
              <w:rPr>
                <w:rFonts w:cs="Times New Roman"/>
                <w:sz w:val="18"/>
                <w:szCs w:val="18"/>
              </w:rPr>
              <w:t>序号</w:t>
            </w:r>
          </w:p>
        </w:tc>
        <w:tc>
          <w:tcPr>
            <w:tcW w:w="710" w:type="dxa"/>
            <w:vAlign w:val="center"/>
          </w:tcPr>
          <w:p>
            <w:pPr>
              <w:spacing w:line="280" w:lineRule="exact"/>
              <w:jc w:val="center"/>
              <w:rPr>
                <w:rFonts w:cs="Times New Roman"/>
                <w:sz w:val="18"/>
                <w:szCs w:val="18"/>
              </w:rPr>
            </w:pPr>
            <w:r>
              <w:rPr>
                <w:rFonts w:cs="Times New Roman"/>
                <w:sz w:val="18"/>
                <w:szCs w:val="18"/>
              </w:rPr>
              <w:t>权力分类</w:t>
            </w:r>
          </w:p>
        </w:tc>
        <w:tc>
          <w:tcPr>
            <w:tcW w:w="856" w:type="dxa"/>
            <w:vAlign w:val="center"/>
          </w:tcPr>
          <w:p>
            <w:pPr>
              <w:spacing w:line="280" w:lineRule="exact"/>
              <w:jc w:val="center"/>
              <w:rPr>
                <w:rFonts w:cs="Times New Roman"/>
                <w:sz w:val="18"/>
                <w:szCs w:val="18"/>
              </w:rPr>
            </w:pPr>
            <w:r>
              <w:rPr>
                <w:rFonts w:cs="Times New Roman"/>
                <w:sz w:val="18"/>
                <w:szCs w:val="18"/>
              </w:rPr>
              <w:t>项目名称</w:t>
            </w:r>
          </w:p>
        </w:tc>
        <w:tc>
          <w:tcPr>
            <w:tcW w:w="777" w:type="dxa"/>
            <w:vAlign w:val="center"/>
          </w:tcPr>
          <w:p>
            <w:pPr>
              <w:spacing w:line="280" w:lineRule="exact"/>
              <w:jc w:val="center"/>
              <w:rPr>
                <w:rFonts w:cs="Times New Roman"/>
                <w:sz w:val="18"/>
                <w:szCs w:val="18"/>
              </w:rPr>
            </w:pPr>
            <w:r>
              <w:rPr>
                <w:rFonts w:cs="Times New Roman"/>
                <w:sz w:val="18"/>
                <w:szCs w:val="18"/>
              </w:rPr>
              <w:t>子项</w:t>
            </w:r>
          </w:p>
        </w:tc>
        <w:tc>
          <w:tcPr>
            <w:tcW w:w="3852" w:type="dxa"/>
            <w:vAlign w:val="center"/>
          </w:tcPr>
          <w:p>
            <w:pPr>
              <w:spacing w:line="280" w:lineRule="exact"/>
              <w:jc w:val="center"/>
              <w:rPr>
                <w:rFonts w:cs="Times New Roman"/>
                <w:sz w:val="18"/>
                <w:szCs w:val="18"/>
              </w:rPr>
            </w:pPr>
            <w:r>
              <w:rPr>
                <w:rFonts w:cs="Times New Roman"/>
                <w:sz w:val="18"/>
                <w:szCs w:val="18"/>
              </w:rPr>
              <w:t>实施依据</w:t>
            </w:r>
          </w:p>
        </w:tc>
        <w:tc>
          <w:tcPr>
            <w:tcW w:w="2295" w:type="dxa"/>
            <w:vAlign w:val="center"/>
          </w:tcPr>
          <w:p>
            <w:pPr>
              <w:spacing w:line="280" w:lineRule="exact"/>
              <w:jc w:val="center"/>
              <w:rPr>
                <w:rFonts w:cs="Times New Roman"/>
                <w:sz w:val="18"/>
                <w:szCs w:val="18"/>
              </w:rPr>
            </w:pPr>
            <w:r>
              <w:rPr>
                <w:rFonts w:cs="Times New Roman"/>
                <w:sz w:val="18"/>
                <w:szCs w:val="18"/>
              </w:rPr>
              <w:t>责任事项</w:t>
            </w:r>
          </w:p>
        </w:tc>
        <w:tc>
          <w:tcPr>
            <w:tcW w:w="6318" w:type="dxa"/>
            <w:vAlign w:val="center"/>
          </w:tcPr>
          <w:p>
            <w:pPr>
              <w:spacing w:line="280" w:lineRule="exact"/>
              <w:jc w:val="center"/>
              <w:rPr>
                <w:rFonts w:cs="Times New Roman"/>
                <w:sz w:val="18"/>
                <w:szCs w:val="18"/>
              </w:rPr>
            </w:pPr>
            <w:r>
              <w:rPr>
                <w:rFonts w:cs="Times New Roman"/>
                <w:sz w:val="18"/>
                <w:szCs w:val="18"/>
              </w:rPr>
              <w:t>责任事项依据</w:t>
            </w:r>
          </w:p>
        </w:tc>
        <w:tc>
          <w:tcPr>
            <w:tcW w:w="1578" w:type="dxa"/>
            <w:vAlign w:val="center"/>
          </w:tcPr>
          <w:p>
            <w:pPr>
              <w:spacing w:line="280" w:lineRule="exact"/>
              <w:jc w:val="center"/>
              <w:rPr>
                <w:rFonts w:cs="Times New Roman"/>
                <w:sz w:val="18"/>
                <w:szCs w:val="18"/>
              </w:rPr>
            </w:pPr>
            <w:r>
              <w:rPr>
                <w:rFonts w:cs="Times New Roman"/>
                <w:sz w:val="18"/>
                <w:szCs w:val="18"/>
              </w:rPr>
              <w:t>追责情形</w:t>
            </w:r>
          </w:p>
        </w:tc>
        <w:tc>
          <w:tcPr>
            <w:tcW w:w="4733" w:type="dxa"/>
            <w:vAlign w:val="center"/>
          </w:tcPr>
          <w:p>
            <w:pPr>
              <w:spacing w:line="280" w:lineRule="exact"/>
              <w:jc w:val="center"/>
              <w:rPr>
                <w:rFonts w:cs="Times New Roman"/>
                <w:sz w:val="18"/>
                <w:szCs w:val="18"/>
              </w:rPr>
            </w:pPr>
            <w:r>
              <w:rPr>
                <w:rFonts w:cs="Times New Roman"/>
                <w:sz w:val="18"/>
                <w:szCs w:val="18"/>
              </w:rPr>
              <w:t>追责依据</w:t>
            </w:r>
          </w:p>
        </w:tc>
        <w:tc>
          <w:tcPr>
            <w:tcW w:w="618"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4" w:hRule="atLeast"/>
          <w:jc w:val="center"/>
        </w:trPr>
        <w:tc>
          <w:tcPr>
            <w:tcW w:w="743" w:type="dxa"/>
            <w:vAlign w:val="center"/>
          </w:tcPr>
          <w:p>
            <w:pPr>
              <w:spacing w:line="240" w:lineRule="exact"/>
              <w:rPr>
                <w:rFonts w:cs="Times New Roman"/>
                <w:sz w:val="18"/>
                <w:szCs w:val="18"/>
              </w:rPr>
            </w:pPr>
            <w:r>
              <w:rPr>
                <w:rFonts w:hint="eastAsia" w:cs="Times New Roman"/>
                <w:sz w:val="18"/>
                <w:szCs w:val="18"/>
              </w:rPr>
              <w:t>57</w:t>
            </w:r>
          </w:p>
        </w:tc>
        <w:tc>
          <w:tcPr>
            <w:tcW w:w="71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56" w:type="dxa"/>
            <w:vAlign w:val="center"/>
          </w:tcPr>
          <w:p>
            <w:pPr>
              <w:spacing w:line="240" w:lineRule="exact"/>
              <w:rPr>
                <w:rFonts w:cs="Times New Roman"/>
                <w:sz w:val="18"/>
                <w:szCs w:val="18"/>
              </w:rPr>
            </w:pPr>
            <w:r>
              <w:rPr>
                <w:rFonts w:cs="Times New Roman"/>
                <w:sz w:val="18"/>
                <w:szCs w:val="18"/>
              </w:rPr>
              <w:t>对抢采掠青、损坏母树或者在劣质林内和劣质母树上采种的处罚</w:t>
            </w:r>
          </w:p>
        </w:tc>
        <w:tc>
          <w:tcPr>
            <w:tcW w:w="777" w:type="dxa"/>
            <w:vAlign w:val="center"/>
          </w:tcPr>
          <w:p>
            <w:pPr>
              <w:spacing w:line="240" w:lineRule="exact"/>
              <w:rPr>
                <w:rFonts w:cs="Times New Roman"/>
                <w:sz w:val="18"/>
                <w:szCs w:val="18"/>
              </w:rPr>
            </w:pPr>
            <w:r>
              <w:rPr>
                <w:rFonts w:cs="Times New Roman"/>
                <w:sz w:val="18"/>
                <w:szCs w:val="18"/>
              </w:rPr>
              <w:t>　</w:t>
            </w:r>
          </w:p>
        </w:tc>
        <w:tc>
          <w:tcPr>
            <w:tcW w:w="3852" w:type="dxa"/>
            <w:vAlign w:val="center"/>
          </w:tcPr>
          <w:p>
            <w:pPr>
              <w:pStyle w:val="5"/>
              <w:shd w:val="clear" w:color="auto" w:fill="FFFFFF"/>
              <w:spacing w:line="240" w:lineRule="exact"/>
              <w:ind w:firstLine="360" w:firstLineChars="20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八十三条违反本法第三十五条规定，抢采掠青、损坏母树或者在劣质林内、劣质母树上采种的，由县级以上人民政府林业主管部门责令停止采种行为，没收所采种子，并处所采种子货值金额二倍以上五倍以下罚款。</w:t>
            </w:r>
          </w:p>
        </w:tc>
        <w:tc>
          <w:tcPr>
            <w:tcW w:w="2295"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318"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w:t>
            </w:r>
            <w:r>
              <w:rPr>
                <w:rFonts w:hint="eastAsia" w:cs="Times New Roman"/>
                <w:sz w:val="18"/>
                <w:szCs w:val="18"/>
              </w:rPr>
              <w:t>；</w:t>
            </w:r>
            <w:r>
              <w:rPr>
                <w:rFonts w:cs="Times New Roman"/>
                <w:sz w:val="18"/>
                <w:szCs w:val="18"/>
              </w:rPr>
              <w:t>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78"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733"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8"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721"/>
        <w:gridCol w:w="864"/>
        <w:gridCol w:w="768"/>
        <w:gridCol w:w="3803"/>
        <w:gridCol w:w="2267"/>
        <w:gridCol w:w="6240"/>
        <w:gridCol w:w="1557"/>
        <w:gridCol w:w="4674"/>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695" w:type="dxa"/>
            <w:vAlign w:val="center"/>
          </w:tcPr>
          <w:p>
            <w:pPr>
              <w:spacing w:line="280" w:lineRule="exact"/>
              <w:jc w:val="center"/>
              <w:rPr>
                <w:rFonts w:cs="Times New Roman"/>
                <w:sz w:val="18"/>
                <w:szCs w:val="18"/>
              </w:rPr>
            </w:pPr>
            <w:r>
              <w:rPr>
                <w:rFonts w:cs="Times New Roman"/>
                <w:sz w:val="18"/>
                <w:szCs w:val="18"/>
              </w:rPr>
              <w:t>序号</w:t>
            </w:r>
          </w:p>
        </w:tc>
        <w:tc>
          <w:tcPr>
            <w:tcW w:w="721" w:type="dxa"/>
            <w:vAlign w:val="center"/>
          </w:tcPr>
          <w:p>
            <w:pPr>
              <w:spacing w:line="280" w:lineRule="exact"/>
              <w:jc w:val="center"/>
              <w:rPr>
                <w:rFonts w:cs="Times New Roman"/>
                <w:sz w:val="18"/>
                <w:szCs w:val="18"/>
              </w:rPr>
            </w:pPr>
            <w:r>
              <w:rPr>
                <w:rFonts w:cs="Times New Roman"/>
                <w:sz w:val="18"/>
                <w:szCs w:val="18"/>
              </w:rPr>
              <w:t>权力分类</w:t>
            </w:r>
          </w:p>
        </w:tc>
        <w:tc>
          <w:tcPr>
            <w:tcW w:w="864" w:type="dxa"/>
            <w:vAlign w:val="center"/>
          </w:tcPr>
          <w:p>
            <w:pPr>
              <w:spacing w:line="280" w:lineRule="exact"/>
              <w:jc w:val="center"/>
              <w:rPr>
                <w:rFonts w:cs="Times New Roman"/>
                <w:sz w:val="18"/>
                <w:szCs w:val="18"/>
              </w:rPr>
            </w:pPr>
            <w:r>
              <w:rPr>
                <w:rFonts w:cs="Times New Roman"/>
                <w:sz w:val="18"/>
                <w:szCs w:val="18"/>
              </w:rPr>
              <w:t>项目名称</w:t>
            </w:r>
          </w:p>
        </w:tc>
        <w:tc>
          <w:tcPr>
            <w:tcW w:w="768" w:type="dxa"/>
            <w:vAlign w:val="center"/>
          </w:tcPr>
          <w:p>
            <w:pPr>
              <w:spacing w:line="280" w:lineRule="exact"/>
              <w:jc w:val="center"/>
              <w:rPr>
                <w:rFonts w:cs="Times New Roman"/>
                <w:sz w:val="18"/>
                <w:szCs w:val="18"/>
              </w:rPr>
            </w:pPr>
            <w:r>
              <w:rPr>
                <w:rFonts w:cs="Times New Roman"/>
                <w:sz w:val="18"/>
                <w:szCs w:val="18"/>
              </w:rPr>
              <w:t>子项</w:t>
            </w:r>
          </w:p>
        </w:tc>
        <w:tc>
          <w:tcPr>
            <w:tcW w:w="3803" w:type="dxa"/>
            <w:vAlign w:val="center"/>
          </w:tcPr>
          <w:p>
            <w:pPr>
              <w:spacing w:line="280" w:lineRule="exact"/>
              <w:jc w:val="center"/>
              <w:rPr>
                <w:rFonts w:cs="Times New Roman"/>
                <w:sz w:val="18"/>
                <w:szCs w:val="18"/>
              </w:rPr>
            </w:pPr>
            <w:r>
              <w:rPr>
                <w:rFonts w:cs="Times New Roman"/>
                <w:sz w:val="18"/>
                <w:szCs w:val="18"/>
              </w:rPr>
              <w:t>实施依据</w:t>
            </w:r>
          </w:p>
        </w:tc>
        <w:tc>
          <w:tcPr>
            <w:tcW w:w="2267" w:type="dxa"/>
            <w:vAlign w:val="center"/>
          </w:tcPr>
          <w:p>
            <w:pPr>
              <w:spacing w:line="280" w:lineRule="exact"/>
              <w:jc w:val="center"/>
              <w:rPr>
                <w:rFonts w:cs="Times New Roman"/>
                <w:sz w:val="18"/>
                <w:szCs w:val="18"/>
              </w:rPr>
            </w:pPr>
            <w:r>
              <w:rPr>
                <w:rFonts w:cs="Times New Roman"/>
                <w:sz w:val="18"/>
                <w:szCs w:val="18"/>
              </w:rPr>
              <w:t>责任事项</w:t>
            </w:r>
          </w:p>
        </w:tc>
        <w:tc>
          <w:tcPr>
            <w:tcW w:w="6240"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4"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2" w:hRule="atLeast"/>
          <w:jc w:val="center"/>
        </w:trPr>
        <w:tc>
          <w:tcPr>
            <w:tcW w:w="695" w:type="dxa"/>
            <w:vAlign w:val="center"/>
          </w:tcPr>
          <w:p>
            <w:pPr>
              <w:spacing w:line="240" w:lineRule="exact"/>
              <w:rPr>
                <w:rFonts w:cs="Times New Roman"/>
                <w:sz w:val="18"/>
                <w:szCs w:val="18"/>
              </w:rPr>
            </w:pPr>
            <w:r>
              <w:rPr>
                <w:rFonts w:hint="eastAsia" w:cs="Times New Roman"/>
                <w:sz w:val="18"/>
                <w:szCs w:val="18"/>
              </w:rPr>
              <w:t>58</w:t>
            </w:r>
          </w:p>
        </w:tc>
        <w:tc>
          <w:tcPr>
            <w:tcW w:w="72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64" w:type="dxa"/>
            <w:vAlign w:val="center"/>
          </w:tcPr>
          <w:p>
            <w:pPr>
              <w:spacing w:line="240" w:lineRule="exact"/>
              <w:rPr>
                <w:rFonts w:cs="Times New Roman"/>
                <w:sz w:val="18"/>
                <w:szCs w:val="18"/>
              </w:rPr>
            </w:pPr>
            <w:r>
              <w:rPr>
                <w:rFonts w:cs="Times New Roman"/>
                <w:sz w:val="18"/>
                <w:szCs w:val="18"/>
              </w:rPr>
              <w:t>对违法收购珍贵树木种子或限制收购的林木种子的处罚</w:t>
            </w:r>
          </w:p>
        </w:tc>
        <w:tc>
          <w:tcPr>
            <w:tcW w:w="768" w:type="dxa"/>
            <w:vAlign w:val="center"/>
          </w:tcPr>
          <w:p>
            <w:pPr>
              <w:spacing w:line="240" w:lineRule="exact"/>
              <w:rPr>
                <w:rFonts w:cs="Times New Roman"/>
                <w:sz w:val="18"/>
                <w:szCs w:val="18"/>
              </w:rPr>
            </w:pPr>
            <w:r>
              <w:rPr>
                <w:rFonts w:cs="Times New Roman"/>
                <w:sz w:val="18"/>
                <w:szCs w:val="18"/>
              </w:rPr>
              <w:t>　</w:t>
            </w:r>
          </w:p>
        </w:tc>
        <w:tc>
          <w:tcPr>
            <w:tcW w:w="3803" w:type="dxa"/>
            <w:vAlign w:val="center"/>
          </w:tcPr>
          <w:p>
            <w:pPr>
              <w:pStyle w:val="5"/>
              <w:shd w:val="clear" w:color="auto" w:fill="FFFFFF"/>
              <w:spacing w:line="240" w:lineRule="exact"/>
              <w:ind w:firstLine="360" w:firstLineChars="20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）第八十四条违反本法第三十九条规定，收购珍贵树木种子或者限制收购的林木种子的，由县级以上人民政府林业主管部门没收所收购的种子，并处收购种子货值金额二倍以上五倍以下罚款。</w:t>
            </w:r>
          </w:p>
        </w:tc>
        <w:tc>
          <w:tcPr>
            <w:tcW w:w="2267"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40"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w:t>
            </w:r>
            <w:r>
              <w:rPr>
                <w:rFonts w:hint="eastAsia" w:cs="Times New Roman"/>
                <w:sz w:val="18"/>
                <w:szCs w:val="18"/>
              </w:rPr>
              <w:t>；</w:t>
            </w:r>
            <w:r>
              <w:rPr>
                <w:rFonts w:cs="Times New Roman"/>
                <w:sz w:val="18"/>
                <w:szCs w:val="18"/>
              </w:rPr>
              <w:t>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4"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0"/>
        <w:gridCol w:w="809"/>
        <w:gridCol w:w="731"/>
        <w:gridCol w:w="3849"/>
        <w:gridCol w:w="2270"/>
        <w:gridCol w:w="6251"/>
        <w:gridCol w:w="1561"/>
        <w:gridCol w:w="4682"/>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35"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809" w:type="dxa"/>
            <w:vAlign w:val="center"/>
          </w:tcPr>
          <w:p>
            <w:pPr>
              <w:spacing w:line="280" w:lineRule="exact"/>
              <w:jc w:val="center"/>
              <w:rPr>
                <w:rFonts w:cs="Times New Roman"/>
                <w:sz w:val="18"/>
                <w:szCs w:val="18"/>
              </w:rPr>
            </w:pPr>
            <w:r>
              <w:rPr>
                <w:rFonts w:cs="Times New Roman"/>
                <w:sz w:val="18"/>
                <w:szCs w:val="18"/>
              </w:rPr>
              <w:t>项目名称</w:t>
            </w:r>
          </w:p>
        </w:tc>
        <w:tc>
          <w:tcPr>
            <w:tcW w:w="731" w:type="dxa"/>
            <w:vAlign w:val="center"/>
          </w:tcPr>
          <w:p>
            <w:pPr>
              <w:spacing w:line="280" w:lineRule="exact"/>
              <w:jc w:val="center"/>
              <w:rPr>
                <w:rFonts w:cs="Times New Roman"/>
                <w:sz w:val="18"/>
                <w:szCs w:val="18"/>
              </w:rPr>
            </w:pPr>
            <w:r>
              <w:rPr>
                <w:rFonts w:cs="Times New Roman"/>
                <w:sz w:val="18"/>
                <w:szCs w:val="18"/>
              </w:rPr>
              <w:t>子项</w:t>
            </w:r>
          </w:p>
        </w:tc>
        <w:tc>
          <w:tcPr>
            <w:tcW w:w="3849" w:type="dxa"/>
            <w:vAlign w:val="center"/>
          </w:tcPr>
          <w:p>
            <w:pPr>
              <w:spacing w:line="280" w:lineRule="exact"/>
              <w:jc w:val="center"/>
              <w:rPr>
                <w:rFonts w:cs="Times New Roman"/>
                <w:sz w:val="18"/>
                <w:szCs w:val="18"/>
              </w:rPr>
            </w:pPr>
            <w:r>
              <w:rPr>
                <w:rFonts w:cs="Times New Roman"/>
                <w:sz w:val="18"/>
                <w:szCs w:val="18"/>
              </w:rPr>
              <w:t>实施依据</w:t>
            </w:r>
          </w:p>
        </w:tc>
        <w:tc>
          <w:tcPr>
            <w:tcW w:w="2270" w:type="dxa"/>
            <w:vAlign w:val="center"/>
          </w:tcPr>
          <w:p>
            <w:pPr>
              <w:spacing w:line="280" w:lineRule="exact"/>
              <w:jc w:val="center"/>
              <w:rPr>
                <w:rFonts w:cs="Times New Roman"/>
                <w:sz w:val="18"/>
                <w:szCs w:val="18"/>
              </w:rPr>
            </w:pPr>
            <w:r>
              <w:rPr>
                <w:rFonts w:cs="Times New Roman"/>
                <w:sz w:val="18"/>
                <w:szCs w:val="18"/>
              </w:rPr>
              <w:t>责任事项</w:t>
            </w:r>
          </w:p>
        </w:tc>
        <w:tc>
          <w:tcPr>
            <w:tcW w:w="6251" w:type="dxa"/>
            <w:vAlign w:val="center"/>
          </w:tcPr>
          <w:p>
            <w:pPr>
              <w:spacing w:line="280" w:lineRule="exact"/>
              <w:jc w:val="center"/>
              <w:rPr>
                <w:rFonts w:cs="Times New Roman"/>
                <w:sz w:val="18"/>
                <w:szCs w:val="18"/>
              </w:rPr>
            </w:pPr>
            <w:r>
              <w:rPr>
                <w:rFonts w:cs="Times New Roman"/>
                <w:sz w:val="18"/>
                <w:szCs w:val="18"/>
              </w:rPr>
              <w:t>责任事项依据</w:t>
            </w:r>
          </w:p>
        </w:tc>
        <w:tc>
          <w:tcPr>
            <w:tcW w:w="1561" w:type="dxa"/>
            <w:vAlign w:val="center"/>
          </w:tcPr>
          <w:p>
            <w:pPr>
              <w:spacing w:line="280" w:lineRule="exact"/>
              <w:jc w:val="center"/>
              <w:rPr>
                <w:rFonts w:cs="Times New Roman"/>
                <w:sz w:val="18"/>
                <w:szCs w:val="18"/>
              </w:rPr>
            </w:pPr>
            <w:r>
              <w:rPr>
                <w:rFonts w:cs="Times New Roman"/>
                <w:sz w:val="18"/>
                <w:szCs w:val="18"/>
              </w:rPr>
              <w:t>追责情形</w:t>
            </w:r>
          </w:p>
        </w:tc>
        <w:tc>
          <w:tcPr>
            <w:tcW w:w="4682"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8" w:hRule="atLeast"/>
          <w:jc w:val="center"/>
        </w:trPr>
        <w:tc>
          <w:tcPr>
            <w:tcW w:w="735" w:type="dxa"/>
            <w:vAlign w:val="center"/>
          </w:tcPr>
          <w:p>
            <w:pPr>
              <w:spacing w:line="240" w:lineRule="exact"/>
              <w:rPr>
                <w:rFonts w:cs="Times New Roman"/>
                <w:sz w:val="18"/>
                <w:szCs w:val="18"/>
              </w:rPr>
            </w:pPr>
            <w:r>
              <w:rPr>
                <w:rFonts w:hint="eastAsia" w:cs="Times New Roman"/>
                <w:sz w:val="18"/>
                <w:szCs w:val="18"/>
              </w:rPr>
              <w:t>59</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09" w:type="dxa"/>
            <w:vAlign w:val="center"/>
          </w:tcPr>
          <w:p>
            <w:pPr>
              <w:spacing w:line="240" w:lineRule="exact"/>
              <w:rPr>
                <w:rFonts w:cs="Times New Roman"/>
                <w:sz w:val="18"/>
                <w:szCs w:val="18"/>
              </w:rPr>
            </w:pPr>
            <w:r>
              <w:rPr>
                <w:rFonts w:cs="Times New Roman"/>
                <w:sz w:val="18"/>
                <w:szCs w:val="18"/>
              </w:rPr>
              <w:t>对国家投资或者国家投资为主的造林项目和国有林业单位未根据林业主管部门制定的计划使用林木良种的处罚</w:t>
            </w:r>
          </w:p>
        </w:tc>
        <w:tc>
          <w:tcPr>
            <w:tcW w:w="731" w:type="dxa"/>
            <w:vAlign w:val="center"/>
          </w:tcPr>
          <w:p>
            <w:pPr>
              <w:spacing w:line="240" w:lineRule="exact"/>
              <w:rPr>
                <w:rFonts w:cs="Times New Roman"/>
                <w:sz w:val="18"/>
                <w:szCs w:val="18"/>
              </w:rPr>
            </w:pPr>
            <w:r>
              <w:rPr>
                <w:rFonts w:cs="Times New Roman"/>
                <w:sz w:val="18"/>
                <w:szCs w:val="18"/>
              </w:rPr>
              <w:t>　</w:t>
            </w:r>
          </w:p>
        </w:tc>
        <w:tc>
          <w:tcPr>
            <w:tcW w:w="3849" w:type="dxa"/>
            <w:vAlign w:val="center"/>
          </w:tcPr>
          <w:p>
            <w:pPr>
              <w:pStyle w:val="5"/>
              <w:shd w:val="clear" w:color="auto" w:fill="FFFFFF"/>
              <w:spacing w:line="240" w:lineRule="exact"/>
              <w:ind w:firstLine="360" w:firstLineChars="20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）第八十六条违反本法第四十五条规定，未根据林业主管部门制定的计划使用林木良种的，由同级人民政府林业主管部门责令限期改正；逾期未改正的，处三千元以上三万元以下罚款。</w:t>
            </w:r>
          </w:p>
        </w:tc>
        <w:tc>
          <w:tcPr>
            <w:tcW w:w="2270"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51"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w:t>
            </w:r>
            <w:r>
              <w:rPr>
                <w:rFonts w:hint="eastAsia" w:cs="Times New Roman"/>
                <w:sz w:val="18"/>
                <w:szCs w:val="18"/>
              </w:rPr>
              <w:t>；</w:t>
            </w:r>
            <w:r>
              <w:rPr>
                <w:rFonts w:cs="Times New Roman"/>
                <w:sz w:val="18"/>
                <w:szCs w:val="18"/>
              </w:rPr>
              <w:t>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82"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2"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01"/>
        <w:gridCol w:w="844"/>
        <w:gridCol w:w="729"/>
        <w:gridCol w:w="3838"/>
        <w:gridCol w:w="2264"/>
        <w:gridCol w:w="6235"/>
        <w:gridCol w:w="1556"/>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733" w:type="dxa"/>
            <w:vAlign w:val="center"/>
          </w:tcPr>
          <w:p>
            <w:pPr>
              <w:spacing w:line="280" w:lineRule="exact"/>
              <w:jc w:val="center"/>
              <w:rPr>
                <w:rFonts w:cs="Times New Roman"/>
                <w:sz w:val="18"/>
                <w:szCs w:val="18"/>
              </w:rPr>
            </w:pPr>
            <w:r>
              <w:rPr>
                <w:rFonts w:cs="Times New Roman"/>
                <w:sz w:val="18"/>
                <w:szCs w:val="18"/>
              </w:rPr>
              <w:t>序号</w:t>
            </w:r>
          </w:p>
        </w:tc>
        <w:tc>
          <w:tcPr>
            <w:tcW w:w="701" w:type="dxa"/>
            <w:vAlign w:val="center"/>
          </w:tcPr>
          <w:p>
            <w:pPr>
              <w:spacing w:line="280" w:lineRule="exact"/>
              <w:jc w:val="center"/>
              <w:rPr>
                <w:rFonts w:cs="Times New Roman"/>
                <w:sz w:val="18"/>
                <w:szCs w:val="18"/>
              </w:rPr>
            </w:pPr>
            <w:r>
              <w:rPr>
                <w:rFonts w:cs="Times New Roman"/>
                <w:sz w:val="18"/>
                <w:szCs w:val="18"/>
              </w:rPr>
              <w:t>权力分类</w:t>
            </w:r>
          </w:p>
        </w:tc>
        <w:tc>
          <w:tcPr>
            <w:tcW w:w="844" w:type="dxa"/>
            <w:vAlign w:val="center"/>
          </w:tcPr>
          <w:p>
            <w:pPr>
              <w:spacing w:line="280" w:lineRule="exact"/>
              <w:jc w:val="center"/>
              <w:rPr>
                <w:rFonts w:cs="Times New Roman"/>
                <w:sz w:val="18"/>
                <w:szCs w:val="18"/>
              </w:rPr>
            </w:pPr>
            <w:r>
              <w:rPr>
                <w:rFonts w:cs="Times New Roman"/>
                <w:sz w:val="18"/>
                <w:szCs w:val="18"/>
              </w:rPr>
              <w:t>项目名称</w:t>
            </w:r>
          </w:p>
        </w:tc>
        <w:tc>
          <w:tcPr>
            <w:tcW w:w="729" w:type="dxa"/>
            <w:vAlign w:val="center"/>
          </w:tcPr>
          <w:p>
            <w:pPr>
              <w:spacing w:line="280" w:lineRule="exact"/>
              <w:jc w:val="center"/>
              <w:rPr>
                <w:rFonts w:cs="Times New Roman"/>
                <w:sz w:val="18"/>
                <w:szCs w:val="18"/>
              </w:rPr>
            </w:pPr>
            <w:r>
              <w:rPr>
                <w:rFonts w:cs="Times New Roman"/>
                <w:sz w:val="18"/>
                <w:szCs w:val="18"/>
              </w:rPr>
              <w:t>子项</w:t>
            </w:r>
          </w:p>
        </w:tc>
        <w:tc>
          <w:tcPr>
            <w:tcW w:w="3838" w:type="dxa"/>
            <w:vAlign w:val="center"/>
          </w:tcPr>
          <w:p>
            <w:pPr>
              <w:spacing w:line="280" w:lineRule="exact"/>
              <w:jc w:val="center"/>
              <w:rPr>
                <w:rFonts w:cs="Times New Roman"/>
                <w:sz w:val="18"/>
                <w:szCs w:val="18"/>
              </w:rPr>
            </w:pPr>
            <w:r>
              <w:rPr>
                <w:rFonts w:cs="Times New Roman"/>
                <w:sz w:val="18"/>
                <w:szCs w:val="18"/>
              </w:rPr>
              <w:t>实施依据</w:t>
            </w:r>
          </w:p>
        </w:tc>
        <w:tc>
          <w:tcPr>
            <w:tcW w:w="2264" w:type="dxa"/>
            <w:vAlign w:val="center"/>
          </w:tcPr>
          <w:p>
            <w:pPr>
              <w:spacing w:line="280" w:lineRule="exact"/>
              <w:jc w:val="center"/>
              <w:rPr>
                <w:rFonts w:cs="Times New Roman"/>
                <w:sz w:val="18"/>
                <w:szCs w:val="18"/>
              </w:rPr>
            </w:pPr>
            <w:r>
              <w:rPr>
                <w:rFonts w:cs="Times New Roman"/>
                <w:sz w:val="18"/>
                <w:szCs w:val="18"/>
              </w:rPr>
              <w:t>责任事项</w:t>
            </w:r>
          </w:p>
        </w:tc>
        <w:tc>
          <w:tcPr>
            <w:tcW w:w="6235" w:type="dxa"/>
            <w:vAlign w:val="center"/>
          </w:tcPr>
          <w:p>
            <w:pPr>
              <w:spacing w:line="280" w:lineRule="exact"/>
              <w:jc w:val="center"/>
              <w:rPr>
                <w:rFonts w:cs="Times New Roman"/>
                <w:sz w:val="18"/>
                <w:szCs w:val="18"/>
              </w:rPr>
            </w:pPr>
            <w:r>
              <w:rPr>
                <w:rFonts w:cs="Times New Roman"/>
                <w:sz w:val="18"/>
                <w:szCs w:val="18"/>
              </w:rPr>
              <w:t>责任事项依据</w:t>
            </w:r>
          </w:p>
        </w:tc>
        <w:tc>
          <w:tcPr>
            <w:tcW w:w="1556"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9" w:hRule="atLeast"/>
          <w:jc w:val="center"/>
        </w:trPr>
        <w:tc>
          <w:tcPr>
            <w:tcW w:w="733" w:type="dxa"/>
            <w:vAlign w:val="center"/>
          </w:tcPr>
          <w:p>
            <w:pPr>
              <w:spacing w:line="240" w:lineRule="exact"/>
              <w:rPr>
                <w:rFonts w:cs="Times New Roman"/>
                <w:sz w:val="18"/>
                <w:szCs w:val="18"/>
              </w:rPr>
            </w:pPr>
            <w:r>
              <w:rPr>
                <w:rFonts w:hint="eastAsia" w:cs="Times New Roman"/>
                <w:sz w:val="18"/>
                <w:szCs w:val="18"/>
              </w:rPr>
              <w:t>60</w:t>
            </w:r>
          </w:p>
        </w:tc>
        <w:tc>
          <w:tcPr>
            <w:tcW w:w="70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44" w:type="dxa"/>
            <w:vAlign w:val="center"/>
          </w:tcPr>
          <w:p>
            <w:pPr>
              <w:spacing w:line="240" w:lineRule="exact"/>
              <w:rPr>
                <w:rFonts w:cs="Times New Roman"/>
                <w:sz w:val="18"/>
                <w:szCs w:val="18"/>
              </w:rPr>
            </w:pPr>
            <w:r>
              <w:rPr>
                <w:rFonts w:cs="Times New Roman"/>
                <w:sz w:val="18"/>
                <w:szCs w:val="18"/>
              </w:rPr>
              <w:t>对违反规定在种子生产基地进行病虫害接种试验的处罚</w:t>
            </w:r>
          </w:p>
        </w:tc>
        <w:tc>
          <w:tcPr>
            <w:tcW w:w="729" w:type="dxa"/>
            <w:vAlign w:val="center"/>
          </w:tcPr>
          <w:p>
            <w:pPr>
              <w:spacing w:line="240" w:lineRule="exact"/>
              <w:rPr>
                <w:rFonts w:cs="Times New Roman"/>
                <w:sz w:val="18"/>
                <w:szCs w:val="18"/>
              </w:rPr>
            </w:pPr>
            <w:r>
              <w:rPr>
                <w:rFonts w:cs="Times New Roman"/>
                <w:sz w:val="18"/>
                <w:szCs w:val="18"/>
              </w:rPr>
              <w:t>　</w:t>
            </w:r>
          </w:p>
        </w:tc>
        <w:tc>
          <w:tcPr>
            <w:tcW w:w="3838" w:type="dxa"/>
            <w:vAlign w:val="center"/>
          </w:tcPr>
          <w:p>
            <w:pPr>
              <w:pStyle w:val="5"/>
              <w:shd w:val="clear" w:color="auto" w:fill="FFFFFF"/>
              <w:spacing w:line="240" w:lineRule="exact"/>
              <w:ind w:firstLine="360" w:firstLineChars="20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）第八十七条违反本法第五十四条规定，在种子生产基地进行检疫性有害生物接种试验的，由县级以上人民政府农业、林业主管部门责令停止试验，处五千元以上五万元以下罚款。</w:t>
            </w:r>
          </w:p>
        </w:tc>
        <w:tc>
          <w:tcPr>
            <w:tcW w:w="2264"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3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w:t>
            </w:r>
            <w:r>
              <w:rPr>
                <w:rFonts w:hint="eastAsia" w:cs="Times New Roman"/>
                <w:sz w:val="18"/>
                <w:szCs w:val="18"/>
              </w:rPr>
              <w:t>；</w:t>
            </w:r>
            <w:r>
              <w:rPr>
                <w:rFonts w:cs="Times New Roman"/>
                <w:sz w:val="18"/>
                <w:szCs w:val="18"/>
              </w:rPr>
              <w:t>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56"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0"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0"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721"/>
        <w:gridCol w:w="846"/>
        <w:gridCol w:w="749"/>
        <w:gridCol w:w="3827"/>
        <w:gridCol w:w="2268"/>
        <w:gridCol w:w="6245"/>
        <w:gridCol w:w="1560"/>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715" w:type="dxa"/>
            <w:vAlign w:val="center"/>
          </w:tcPr>
          <w:p>
            <w:pPr>
              <w:spacing w:line="280" w:lineRule="exact"/>
              <w:jc w:val="center"/>
              <w:rPr>
                <w:rFonts w:cs="Times New Roman"/>
                <w:sz w:val="18"/>
                <w:szCs w:val="18"/>
              </w:rPr>
            </w:pPr>
            <w:r>
              <w:rPr>
                <w:rFonts w:cs="Times New Roman"/>
                <w:sz w:val="18"/>
                <w:szCs w:val="18"/>
              </w:rPr>
              <w:t>序号</w:t>
            </w:r>
          </w:p>
        </w:tc>
        <w:tc>
          <w:tcPr>
            <w:tcW w:w="721" w:type="dxa"/>
            <w:vAlign w:val="center"/>
          </w:tcPr>
          <w:p>
            <w:pPr>
              <w:spacing w:line="280" w:lineRule="exact"/>
              <w:jc w:val="center"/>
              <w:rPr>
                <w:rFonts w:cs="Times New Roman"/>
                <w:sz w:val="18"/>
                <w:szCs w:val="18"/>
              </w:rPr>
            </w:pPr>
            <w:r>
              <w:rPr>
                <w:rFonts w:cs="Times New Roman"/>
                <w:sz w:val="18"/>
                <w:szCs w:val="18"/>
              </w:rPr>
              <w:t>权力分类</w:t>
            </w:r>
          </w:p>
        </w:tc>
        <w:tc>
          <w:tcPr>
            <w:tcW w:w="846" w:type="dxa"/>
            <w:vAlign w:val="center"/>
          </w:tcPr>
          <w:p>
            <w:pPr>
              <w:spacing w:line="280" w:lineRule="exact"/>
              <w:jc w:val="center"/>
              <w:rPr>
                <w:rFonts w:cs="Times New Roman"/>
                <w:sz w:val="18"/>
                <w:szCs w:val="18"/>
              </w:rPr>
            </w:pPr>
            <w:r>
              <w:rPr>
                <w:rFonts w:cs="Times New Roman"/>
                <w:sz w:val="18"/>
                <w:szCs w:val="18"/>
              </w:rPr>
              <w:t>项目名称</w:t>
            </w:r>
          </w:p>
        </w:tc>
        <w:tc>
          <w:tcPr>
            <w:tcW w:w="749" w:type="dxa"/>
            <w:vAlign w:val="center"/>
          </w:tcPr>
          <w:p>
            <w:pPr>
              <w:spacing w:line="280" w:lineRule="exact"/>
              <w:jc w:val="center"/>
              <w:rPr>
                <w:rFonts w:cs="Times New Roman"/>
                <w:sz w:val="18"/>
                <w:szCs w:val="18"/>
              </w:rPr>
            </w:pPr>
            <w:r>
              <w:rPr>
                <w:rFonts w:cs="Times New Roman"/>
                <w:sz w:val="18"/>
                <w:szCs w:val="18"/>
              </w:rPr>
              <w:t>子项</w:t>
            </w:r>
          </w:p>
        </w:tc>
        <w:tc>
          <w:tcPr>
            <w:tcW w:w="3827" w:type="dxa"/>
            <w:vAlign w:val="center"/>
          </w:tcPr>
          <w:p>
            <w:pPr>
              <w:spacing w:line="280" w:lineRule="exact"/>
              <w:jc w:val="center"/>
              <w:rPr>
                <w:rFonts w:cs="Times New Roman"/>
                <w:sz w:val="18"/>
                <w:szCs w:val="18"/>
              </w:rPr>
            </w:pPr>
            <w:r>
              <w:rPr>
                <w:rFonts w:cs="Times New Roman"/>
                <w:sz w:val="18"/>
                <w:szCs w:val="18"/>
              </w:rPr>
              <w:t>实施依据</w:t>
            </w:r>
          </w:p>
        </w:tc>
        <w:tc>
          <w:tcPr>
            <w:tcW w:w="2268" w:type="dxa"/>
            <w:vAlign w:val="center"/>
          </w:tcPr>
          <w:p>
            <w:pPr>
              <w:spacing w:line="280" w:lineRule="exact"/>
              <w:jc w:val="center"/>
              <w:rPr>
                <w:rFonts w:cs="Times New Roman"/>
                <w:sz w:val="18"/>
                <w:szCs w:val="18"/>
              </w:rPr>
            </w:pPr>
            <w:r>
              <w:rPr>
                <w:rFonts w:cs="Times New Roman"/>
                <w:sz w:val="18"/>
                <w:szCs w:val="18"/>
              </w:rPr>
              <w:t>责任事项</w:t>
            </w:r>
          </w:p>
        </w:tc>
        <w:tc>
          <w:tcPr>
            <w:tcW w:w="6245" w:type="dxa"/>
            <w:vAlign w:val="center"/>
          </w:tcPr>
          <w:p>
            <w:pPr>
              <w:spacing w:line="280" w:lineRule="exact"/>
              <w:jc w:val="center"/>
              <w:rPr>
                <w:rFonts w:cs="Times New Roman"/>
                <w:sz w:val="18"/>
                <w:szCs w:val="18"/>
              </w:rPr>
            </w:pPr>
            <w:r>
              <w:rPr>
                <w:rFonts w:cs="Times New Roman"/>
                <w:sz w:val="18"/>
                <w:szCs w:val="18"/>
              </w:rPr>
              <w:t>责任事项依据</w:t>
            </w:r>
          </w:p>
        </w:tc>
        <w:tc>
          <w:tcPr>
            <w:tcW w:w="1560"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7" w:hRule="atLeast"/>
          <w:jc w:val="center"/>
        </w:trPr>
        <w:tc>
          <w:tcPr>
            <w:tcW w:w="715" w:type="dxa"/>
            <w:vAlign w:val="center"/>
          </w:tcPr>
          <w:p>
            <w:pPr>
              <w:spacing w:line="240" w:lineRule="exact"/>
              <w:rPr>
                <w:rFonts w:cs="Times New Roman"/>
                <w:sz w:val="18"/>
                <w:szCs w:val="18"/>
              </w:rPr>
            </w:pPr>
            <w:r>
              <w:rPr>
                <w:rFonts w:hint="eastAsia" w:cs="Times New Roman"/>
                <w:sz w:val="18"/>
                <w:szCs w:val="18"/>
              </w:rPr>
              <w:t>61</w:t>
            </w:r>
          </w:p>
        </w:tc>
        <w:tc>
          <w:tcPr>
            <w:tcW w:w="72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处罚</w:t>
            </w:r>
          </w:p>
        </w:tc>
        <w:tc>
          <w:tcPr>
            <w:tcW w:w="846" w:type="dxa"/>
            <w:vAlign w:val="center"/>
          </w:tcPr>
          <w:p>
            <w:pPr>
              <w:spacing w:line="240" w:lineRule="exact"/>
              <w:rPr>
                <w:rFonts w:cs="Times New Roman"/>
                <w:sz w:val="18"/>
                <w:szCs w:val="18"/>
              </w:rPr>
            </w:pPr>
            <w:r>
              <w:rPr>
                <w:rFonts w:cs="Times New Roman"/>
                <w:sz w:val="18"/>
                <w:szCs w:val="18"/>
              </w:rPr>
              <w:t>对拒绝、阻挠依法监督检查的处罚</w:t>
            </w:r>
          </w:p>
        </w:tc>
        <w:tc>
          <w:tcPr>
            <w:tcW w:w="749" w:type="dxa"/>
            <w:vAlign w:val="center"/>
          </w:tcPr>
          <w:p>
            <w:pPr>
              <w:spacing w:line="240" w:lineRule="exact"/>
              <w:rPr>
                <w:rFonts w:cs="Times New Roman"/>
                <w:sz w:val="18"/>
                <w:szCs w:val="18"/>
              </w:rPr>
            </w:pPr>
            <w:r>
              <w:rPr>
                <w:rFonts w:cs="Times New Roman"/>
                <w:sz w:val="18"/>
                <w:szCs w:val="18"/>
              </w:rPr>
              <w:t>　</w:t>
            </w:r>
          </w:p>
        </w:tc>
        <w:tc>
          <w:tcPr>
            <w:tcW w:w="3827" w:type="dxa"/>
            <w:vAlign w:val="center"/>
          </w:tcPr>
          <w:p>
            <w:pPr>
              <w:pStyle w:val="5"/>
              <w:shd w:val="clear" w:color="auto" w:fill="FFFFFF"/>
              <w:spacing w:line="240" w:lineRule="exact"/>
              <w:ind w:firstLine="360" w:firstLineChars="200"/>
              <w:rPr>
                <w:rFonts w:cs="Times New Roman"/>
                <w:sz w:val="18"/>
                <w:szCs w:val="18"/>
              </w:rPr>
            </w:pPr>
            <w:r>
              <w:rPr>
                <w:rFonts w:cs="Times New Roman"/>
                <w:sz w:val="18"/>
                <w:szCs w:val="18"/>
              </w:rPr>
              <w:t>【法律】《中华人民共和国种子法》（2000年7月8日主席令第三十四号，2015年11月4日</w:t>
            </w:r>
            <w:r>
              <w:rPr>
                <w:rFonts w:hint="eastAsia" w:cs="Times New Roman"/>
                <w:sz w:val="18"/>
                <w:szCs w:val="18"/>
              </w:rPr>
              <w:t>主席令第三十五号第三次修订</w:t>
            </w:r>
            <w:r>
              <w:rPr>
                <w:rFonts w:cs="Times New Roman"/>
                <w:sz w:val="18"/>
                <w:szCs w:val="18"/>
              </w:rPr>
              <w:t>）法律】《中华人民共和国种子法》（2000年7月8日主席令第三十四号，2015年11月4日修改）第八十八条　违反本法第五十条规定，拒绝、阻挠农业、林业主管部门依法实施监督检查的，处二千元以上五万元以下罚款，可以责令停产停业整顿；构成违反治安管理行为的，由公安机关依法给予治安管理处罚。</w:t>
            </w:r>
          </w:p>
        </w:tc>
        <w:tc>
          <w:tcPr>
            <w:tcW w:w="2268" w:type="dxa"/>
            <w:vAlign w:val="center"/>
          </w:tcPr>
          <w:p>
            <w:pPr>
              <w:spacing w:line="240" w:lineRule="exact"/>
              <w:rPr>
                <w:rFonts w:cs="Times New Roman"/>
                <w:sz w:val="18"/>
                <w:szCs w:val="18"/>
              </w:rPr>
            </w:pPr>
            <w:r>
              <w:rPr>
                <w:rFonts w:cs="Times New Roman"/>
                <w:b/>
                <w:bCs/>
                <w:sz w:val="18"/>
                <w:szCs w:val="18"/>
              </w:rPr>
              <w:t>1.立案责任</w:t>
            </w:r>
            <w:r>
              <w:rPr>
                <w:rFonts w:cs="Times New Roman"/>
                <w:sz w:val="18"/>
                <w:szCs w:val="18"/>
              </w:rPr>
              <w:t>：通过举报、巡查（或者下级林业部门上报及其他机关移送的违法案件等），发现涉嫌的违法行为，予以审查，决定是否立案。</w:t>
            </w:r>
            <w:r>
              <w:rPr>
                <w:rFonts w:cs="Times New Roman"/>
                <w:sz w:val="18"/>
                <w:szCs w:val="18"/>
              </w:rPr>
              <w:br w:type="textWrapping"/>
            </w:r>
            <w:r>
              <w:rPr>
                <w:rFonts w:cs="Times New Roman"/>
                <w:b/>
                <w:bCs/>
                <w:sz w:val="18"/>
                <w:szCs w:val="18"/>
              </w:rPr>
              <w:t>2.调查取证责任</w:t>
            </w:r>
            <w:r>
              <w:rPr>
                <w:rFonts w:cs="Times New Roman"/>
                <w:sz w:val="18"/>
                <w:szCs w:val="18"/>
              </w:rPr>
              <w:t>：指定专人负责，及时组织调查取证，通过搜集证据、现场了解核实情况等进行调查，制作笔录。调查时应出示执法证件，执法人员不得少于二人，依法回避。</w:t>
            </w:r>
            <w:r>
              <w:rPr>
                <w:rFonts w:cs="Times New Roman"/>
                <w:sz w:val="18"/>
                <w:szCs w:val="18"/>
              </w:rPr>
              <w:br w:type="textWrapping"/>
            </w:r>
            <w:r>
              <w:rPr>
                <w:rFonts w:cs="Times New Roman"/>
                <w:b/>
                <w:bCs/>
                <w:sz w:val="18"/>
                <w:szCs w:val="18"/>
              </w:rPr>
              <w:t>3.审查责任</w:t>
            </w:r>
            <w:r>
              <w:rPr>
                <w:rFonts w:cs="Times New Roman"/>
                <w:sz w:val="18"/>
                <w:szCs w:val="18"/>
              </w:rPr>
              <w:t>：审查案件调查报告，对案件违法事实、证据、调查取证程序、法律适用、处罚种类和幅度、当事人陈述和申辩理由等方面进行审查，提出处理意见。</w:t>
            </w:r>
            <w:r>
              <w:rPr>
                <w:rFonts w:cs="Times New Roman"/>
                <w:sz w:val="18"/>
                <w:szCs w:val="18"/>
              </w:rPr>
              <w:br w:type="textWrapping"/>
            </w:r>
            <w:r>
              <w:rPr>
                <w:rFonts w:cs="Times New Roman"/>
                <w:b/>
                <w:bCs/>
                <w:sz w:val="18"/>
                <w:szCs w:val="18"/>
              </w:rPr>
              <w:t xml:space="preserve"> 4.告知责任</w:t>
            </w:r>
            <w:r>
              <w:rPr>
                <w:rFonts w:cs="Times New Roman"/>
                <w:sz w:val="18"/>
                <w:szCs w:val="18"/>
              </w:rPr>
              <w:t>：作出行政处罚决定前，应制作《行政处罚告知书》送达当事人，告知违法事实及其享有的陈述、申辩等权利。符合听证规定的，告知听证权。</w:t>
            </w:r>
            <w:r>
              <w:rPr>
                <w:rFonts w:cs="Times New Roman"/>
                <w:sz w:val="18"/>
                <w:szCs w:val="18"/>
              </w:rPr>
              <w:br w:type="textWrapping"/>
            </w:r>
            <w:r>
              <w:rPr>
                <w:rFonts w:cs="Times New Roman"/>
                <w:b/>
                <w:bCs/>
                <w:sz w:val="18"/>
                <w:szCs w:val="18"/>
              </w:rPr>
              <w:t>5.决定责任</w:t>
            </w:r>
            <w:r>
              <w:rPr>
                <w:rFonts w:cs="Times New Roman"/>
                <w:sz w:val="18"/>
                <w:szCs w:val="18"/>
              </w:rPr>
              <w:t>：据案件审查情况决定是否予以行政处罚。依法给予处罚的，制作行政处罚决定书。对情节复杂或者重大违法行为给予较重的行政处罚，行政机关的负责人应当集体讨论决定。</w:t>
            </w:r>
            <w:r>
              <w:rPr>
                <w:rFonts w:cs="Times New Roman"/>
                <w:sz w:val="18"/>
                <w:szCs w:val="18"/>
              </w:rPr>
              <w:br w:type="textWrapping"/>
            </w:r>
            <w:r>
              <w:rPr>
                <w:rFonts w:cs="Times New Roman"/>
                <w:b/>
                <w:bCs/>
                <w:sz w:val="18"/>
                <w:szCs w:val="18"/>
              </w:rPr>
              <w:t xml:space="preserve"> 6.送达责任</w:t>
            </w:r>
            <w:r>
              <w:rPr>
                <w:rFonts w:cs="Times New Roman"/>
                <w:sz w:val="18"/>
                <w:szCs w:val="18"/>
              </w:rPr>
              <w:t>：当场送达或在七日内依照民事诉讼法的有关规定送达。</w:t>
            </w:r>
            <w:r>
              <w:rPr>
                <w:rFonts w:cs="Times New Roman"/>
                <w:sz w:val="18"/>
                <w:szCs w:val="18"/>
              </w:rPr>
              <w:br w:type="textWrapping"/>
            </w:r>
            <w:r>
              <w:rPr>
                <w:rFonts w:cs="Times New Roman"/>
                <w:b/>
                <w:bCs/>
                <w:sz w:val="18"/>
                <w:szCs w:val="18"/>
              </w:rPr>
              <w:t>7.执行责任</w:t>
            </w:r>
            <w:r>
              <w:rPr>
                <w:rFonts w:cs="Times New Roman"/>
                <w:sz w:val="18"/>
                <w:szCs w:val="18"/>
              </w:rPr>
              <w:t>：依照生效的行政处罚决定，自觉履行或强制执行。</w:t>
            </w:r>
            <w:r>
              <w:rPr>
                <w:rFonts w:cs="Times New Roman"/>
                <w:sz w:val="18"/>
                <w:szCs w:val="18"/>
              </w:rPr>
              <w:br w:type="textWrapping"/>
            </w:r>
            <w:r>
              <w:rPr>
                <w:rFonts w:cs="Times New Roman"/>
                <w:b/>
                <w:bCs/>
                <w:sz w:val="18"/>
                <w:szCs w:val="18"/>
              </w:rPr>
              <w:t>8.其他法律法规规章文件规定应履行的其他责任</w:t>
            </w:r>
            <w:r>
              <w:rPr>
                <w:rFonts w:cs="Times New Roman"/>
                <w:sz w:val="18"/>
                <w:szCs w:val="18"/>
              </w:rPr>
              <w:t>。</w:t>
            </w:r>
          </w:p>
        </w:tc>
        <w:tc>
          <w:tcPr>
            <w:tcW w:w="6245" w:type="dxa"/>
            <w:vAlign w:val="center"/>
          </w:tcPr>
          <w:p>
            <w:pPr>
              <w:spacing w:line="240" w:lineRule="exact"/>
              <w:ind w:firstLine="450" w:firstLineChars="250"/>
              <w:rPr>
                <w:rFonts w:cs="Times New Roman"/>
                <w:sz w:val="18"/>
                <w:szCs w:val="18"/>
              </w:rPr>
            </w:pPr>
            <w:r>
              <w:rPr>
                <w:rFonts w:cs="Times New Roman"/>
                <w:sz w:val="18"/>
                <w:szCs w:val="18"/>
              </w:rPr>
              <w:t>1.【规章】《林业行政处罚程序规定》（1996年9月27日林业部令第8号公布）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r>
              <w:rPr>
                <w:rFonts w:cs="Times New Roman"/>
                <w:sz w:val="18"/>
                <w:szCs w:val="18"/>
              </w:rPr>
              <w:br w:type="textWrapping"/>
            </w:r>
            <w:r>
              <w:rPr>
                <w:rFonts w:hint="eastAsia" w:cs="Times New Roman"/>
                <w:sz w:val="18"/>
                <w:szCs w:val="18"/>
              </w:rPr>
              <w:t xml:space="preserve"> 2.【法律】《中华人民共和国行政处罚法》（1996年主席令第六十三号公布，2009年主席令第十八号修改）第三十六条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w:t>
            </w:r>
            <w:r>
              <w:rPr>
                <w:rFonts w:cs="Times New Roman"/>
                <w:sz w:val="18"/>
                <w:szCs w:val="18"/>
              </w:rPr>
              <w:t>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cs="Times New Roman"/>
                <w:sz w:val="18"/>
                <w:szCs w:val="18"/>
              </w:rPr>
              <w:br w:type="textWrapping"/>
            </w:r>
            <w:r>
              <w:rPr>
                <w:rFonts w:cs="Times New Roman"/>
                <w:sz w:val="18"/>
                <w:szCs w:val="18"/>
              </w:rPr>
              <w:t>3.【规章】《林业行政处罚程序规定》（1996年9月27日林业部令第8号公布）第三十一条　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r>
              <w:rPr>
                <w:rFonts w:cs="Times New Roman"/>
                <w:sz w:val="18"/>
                <w:szCs w:val="18"/>
              </w:rPr>
              <w:br w:type="textWrapping"/>
            </w:r>
            <w:r>
              <w:rPr>
                <w:rFonts w:cs="Times New Roman"/>
                <w:sz w:val="18"/>
                <w:szCs w:val="18"/>
              </w:rPr>
              <w:t>4-1.【法律】《中华人民共和国行政处罚法》（1996年主席令第六十三号公布，2009年主席令第十八号修改）第四十一条　行政机关及其执法人员在作出行政处罚决定之前，不依照本法第三十一条、第三十二条的规定向当事人告知给予行政处罚的事实、理由和依据，或者拒绝听取当事人的陈述、申辩，行政处罚决定不能成立</w:t>
            </w:r>
            <w:r>
              <w:rPr>
                <w:rFonts w:hint="eastAsia" w:cs="Times New Roman"/>
                <w:sz w:val="18"/>
                <w:szCs w:val="18"/>
              </w:rPr>
              <w:t>；</w:t>
            </w:r>
            <w:r>
              <w:rPr>
                <w:rFonts w:cs="Times New Roman"/>
                <w:sz w:val="18"/>
                <w:szCs w:val="18"/>
              </w:rPr>
              <w:t>当事人放弃陈述或者申辩权利的除外。</w:t>
            </w:r>
          </w:p>
          <w:p>
            <w:pPr>
              <w:spacing w:line="240" w:lineRule="exact"/>
              <w:ind w:firstLine="360" w:firstLineChars="200"/>
              <w:rPr>
                <w:rFonts w:cs="Times New Roman"/>
                <w:sz w:val="18"/>
                <w:szCs w:val="18"/>
              </w:rPr>
            </w:pPr>
            <w:r>
              <w:rPr>
                <w:rFonts w:cs="Times New Roman"/>
                <w:sz w:val="18"/>
                <w:szCs w:val="18"/>
              </w:rPr>
              <w:t>4-2.【规章】《林业行政处罚程序规定》（1996年9月27日林业部令第8号公布）第三十七条　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r>
              <w:rPr>
                <w:rFonts w:cs="Times New Roman"/>
                <w:sz w:val="18"/>
                <w:szCs w:val="18"/>
              </w:rPr>
              <w:br w:type="textWrapping"/>
            </w:r>
            <w:r>
              <w:rPr>
                <w:rFonts w:hint="eastAsia" w:cs="Times New Roman"/>
                <w:sz w:val="18"/>
                <w:szCs w:val="18"/>
              </w:rPr>
              <w:t>5</w:t>
            </w:r>
            <w:r>
              <w:rPr>
                <w:rFonts w:cs="Times New Roman"/>
                <w:sz w:val="18"/>
                <w:szCs w:val="18"/>
              </w:rPr>
              <w:t>.【法律】《中华人民共和国行政处罚法》（1996年主席令第六十三号公布，2009年主席令第十八号修改）第三十九条行政机关依照本法第三十八条的规定给予行政处罚，应当制作行政处罚决定书。</w:t>
            </w:r>
            <w:r>
              <w:rPr>
                <w:rFonts w:cs="Times New Roman"/>
                <w:sz w:val="18"/>
                <w:szCs w:val="18"/>
              </w:rPr>
              <w:br w:type="textWrapping"/>
            </w:r>
            <w:r>
              <w:rPr>
                <w:rFonts w:hint="eastAsia" w:cs="Times New Roman"/>
                <w:sz w:val="18"/>
                <w:szCs w:val="18"/>
              </w:rPr>
              <w:t>6.</w:t>
            </w:r>
            <w:r>
              <w:rPr>
                <w:rFonts w:cs="Times New Roman"/>
                <w:sz w:val="18"/>
                <w:szCs w:val="18"/>
              </w:rPr>
              <w:t>【法律】《中华人民共和国行政处罚法》（1996年主席令第六十三号公布，2009年主席令第十八号修改）第</w:t>
            </w:r>
            <w:r>
              <w:rPr>
                <w:rFonts w:hint="eastAsia" w:cs="Times New Roman"/>
                <w:sz w:val="18"/>
                <w:szCs w:val="18"/>
              </w:rPr>
              <w:t>四十</w:t>
            </w:r>
            <w:r>
              <w:rPr>
                <w:rFonts w:cs="Times New Roman"/>
                <w:sz w:val="18"/>
                <w:szCs w:val="18"/>
              </w:rPr>
              <w:t>条</w:t>
            </w:r>
            <w:r>
              <w:rPr>
                <w:rFonts w:hint="eastAsia" w:cs="Times New Roman"/>
                <w:sz w:val="18"/>
                <w:szCs w:val="18"/>
              </w:rPr>
              <w:t xml:space="preserve"> 行政处罚决定书应当在宣告后当场交付当事人；当事人不在场的，行政机关应当在七日内依照民事诉讼法的有关规定，将行政处罚决定书送达当事人。</w:t>
            </w:r>
          </w:p>
          <w:p>
            <w:pPr>
              <w:spacing w:line="240" w:lineRule="exact"/>
              <w:ind w:firstLine="360"/>
              <w:rPr>
                <w:rFonts w:cs="Times New Roman"/>
                <w:sz w:val="18"/>
                <w:szCs w:val="18"/>
              </w:rPr>
            </w:pPr>
            <w:r>
              <w:rPr>
                <w:rFonts w:cs="Times New Roman"/>
                <w:sz w:val="18"/>
                <w:szCs w:val="18"/>
              </w:rPr>
              <w:t>7.【法律】《中华人民共和国行政处罚法》（1996年主席令第六十三号公布，2009年主席令第十八号修改）第五十一条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56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1.没有法律和事实依据实施处罚的；</w:t>
            </w:r>
            <w:r>
              <w:rPr>
                <w:rFonts w:cs="Times New Roman"/>
                <w:sz w:val="18"/>
                <w:szCs w:val="18"/>
              </w:rPr>
              <w:br w:type="textWrapping"/>
            </w:r>
            <w:r>
              <w:rPr>
                <w:rFonts w:cs="Times New Roman"/>
                <w:sz w:val="18"/>
                <w:szCs w:val="18"/>
              </w:rPr>
              <w:t>2.擅自改变处罚种类、幅度的；</w:t>
            </w:r>
            <w:r>
              <w:rPr>
                <w:rFonts w:cs="Times New Roman"/>
                <w:sz w:val="18"/>
                <w:szCs w:val="18"/>
              </w:rPr>
              <w:br w:type="textWrapping"/>
            </w:r>
            <w:r>
              <w:rPr>
                <w:rFonts w:cs="Times New Roman"/>
                <w:sz w:val="18"/>
                <w:szCs w:val="18"/>
              </w:rPr>
              <w:t>3.违反法定的处罚程序的；</w:t>
            </w:r>
            <w:r>
              <w:rPr>
                <w:rFonts w:cs="Times New Roman"/>
                <w:sz w:val="18"/>
                <w:szCs w:val="18"/>
              </w:rPr>
              <w:br w:type="textWrapping"/>
            </w:r>
            <w:r>
              <w:rPr>
                <w:rFonts w:cs="Times New Roman"/>
                <w:sz w:val="18"/>
                <w:szCs w:val="18"/>
              </w:rPr>
              <w:t>4.违反“罚缴分离”规定，擅自收取罚款以及截留、私分或者变相私分罚款的；</w:t>
            </w:r>
            <w:r>
              <w:rPr>
                <w:rFonts w:cs="Times New Roman"/>
                <w:sz w:val="18"/>
                <w:szCs w:val="18"/>
              </w:rPr>
              <w:br w:type="textWrapping"/>
            </w:r>
            <w:r>
              <w:rPr>
                <w:rFonts w:cs="Times New Roman"/>
                <w:sz w:val="18"/>
                <w:szCs w:val="18"/>
              </w:rPr>
              <w:t>5.滥用职权、滥施处罚，给当事人造成损失的；</w:t>
            </w:r>
            <w:r>
              <w:rPr>
                <w:rFonts w:cs="Times New Roman"/>
                <w:sz w:val="18"/>
                <w:szCs w:val="18"/>
              </w:rPr>
              <w:br w:type="textWrapping"/>
            </w:r>
            <w:r>
              <w:rPr>
                <w:rFonts w:cs="Times New Roman"/>
                <w:sz w:val="18"/>
                <w:szCs w:val="18"/>
              </w:rPr>
              <w:t>6.对当事人进行处罚不使用罚款、没收财物单据或者使用非法定部门制发的罚款、没收财物单据的；</w:t>
            </w:r>
            <w:r>
              <w:rPr>
                <w:rFonts w:cs="Times New Roman"/>
                <w:sz w:val="18"/>
                <w:szCs w:val="18"/>
              </w:rPr>
              <w:br w:type="textWrapping"/>
            </w:r>
            <w:r>
              <w:rPr>
                <w:rFonts w:cs="Times New Roman"/>
                <w:sz w:val="18"/>
                <w:szCs w:val="18"/>
              </w:rPr>
              <w:t>7.其他违反法律法规规章文件规定的行为。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处罚法》（1996年主席令第六十三号公布，2009年主席令第十八号修改）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处罚法》（1996年主席令第六十三号公布，2009年主席令第十八号修改）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cs="Times New Roman"/>
                <w:sz w:val="18"/>
                <w:szCs w:val="18"/>
              </w:rPr>
              <w:br w:type="textWrapping"/>
            </w:r>
            <w:r>
              <w:rPr>
                <w:rFonts w:cs="Times New Roman"/>
                <w:sz w:val="18"/>
                <w:szCs w:val="18"/>
              </w:rPr>
              <w:t xml:space="preserve">    5.【法律】《中华人民共和国森林法》（1984年9月20日主席令第十七号公布，2009年8月27日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第四十六条从事森林资源保护、林业监督管理工作的林业主管部门的工作人员和其他国家机关的有关工作人员滥用职权、玩忽职守、徇私舞弊，构成犯罪的，依法追究刑事责任；尚不构成犯罪的，依法给予行政处分。</w:t>
            </w:r>
            <w:r>
              <w:rPr>
                <w:rFonts w:cs="Times New Roman"/>
                <w:sz w:val="18"/>
                <w:szCs w:val="18"/>
              </w:rPr>
              <w:br w:type="textWrapping"/>
            </w:r>
            <w:r>
              <w:rPr>
                <w:rFonts w:cs="Times New Roman"/>
                <w:sz w:val="18"/>
                <w:szCs w:val="18"/>
              </w:rPr>
              <w:t xml:space="preserve">    6.同4。</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42"/>
        <w:gridCol w:w="847"/>
        <w:gridCol w:w="770"/>
        <w:gridCol w:w="3814"/>
        <w:gridCol w:w="2272"/>
        <w:gridCol w:w="6257"/>
        <w:gridCol w:w="1562"/>
        <w:gridCol w:w="4687"/>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697" w:type="dxa"/>
            <w:vAlign w:val="center"/>
          </w:tcPr>
          <w:p>
            <w:pPr>
              <w:spacing w:line="280" w:lineRule="exact"/>
              <w:jc w:val="center"/>
              <w:rPr>
                <w:rFonts w:cs="Times New Roman"/>
                <w:sz w:val="18"/>
                <w:szCs w:val="18"/>
              </w:rPr>
            </w:pPr>
            <w:r>
              <w:rPr>
                <w:rFonts w:cs="Times New Roman"/>
                <w:sz w:val="18"/>
                <w:szCs w:val="18"/>
              </w:rPr>
              <w:t>序号</w:t>
            </w:r>
          </w:p>
        </w:tc>
        <w:tc>
          <w:tcPr>
            <w:tcW w:w="742" w:type="dxa"/>
            <w:vAlign w:val="center"/>
          </w:tcPr>
          <w:p>
            <w:pPr>
              <w:spacing w:line="280" w:lineRule="exact"/>
              <w:jc w:val="center"/>
              <w:rPr>
                <w:rFonts w:cs="Times New Roman"/>
                <w:sz w:val="18"/>
                <w:szCs w:val="18"/>
              </w:rPr>
            </w:pPr>
            <w:r>
              <w:rPr>
                <w:rFonts w:cs="Times New Roman"/>
                <w:sz w:val="18"/>
                <w:szCs w:val="18"/>
              </w:rPr>
              <w:t>权力分类</w:t>
            </w:r>
          </w:p>
        </w:tc>
        <w:tc>
          <w:tcPr>
            <w:tcW w:w="847" w:type="dxa"/>
            <w:vAlign w:val="center"/>
          </w:tcPr>
          <w:p>
            <w:pPr>
              <w:spacing w:line="280" w:lineRule="exact"/>
              <w:jc w:val="center"/>
              <w:rPr>
                <w:rFonts w:cs="Times New Roman"/>
                <w:sz w:val="18"/>
                <w:szCs w:val="18"/>
              </w:rPr>
            </w:pPr>
            <w:r>
              <w:rPr>
                <w:rFonts w:cs="Times New Roman"/>
                <w:sz w:val="18"/>
                <w:szCs w:val="18"/>
              </w:rPr>
              <w:t>项目名称</w:t>
            </w:r>
          </w:p>
        </w:tc>
        <w:tc>
          <w:tcPr>
            <w:tcW w:w="770" w:type="dxa"/>
            <w:vAlign w:val="center"/>
          </w:tcPr>
          <w:p>
            <w:pPr>
              <w:spacing w:line="280" w:lineRule="exact"/>
              <w:jc w:val="center"/>
              <w:rPr>
                <w:rFonts w:cs="Times New Roman"/>
                <w:sz w:val="18"/>
                <w:szCs w:val="18"/>
              </w:rPr>
            </w:pPr>
            <w:r>
              <w:rPr>
                <w:rFonts w:cs="Times New Roman"/>
                <w:sz w:val="18"/>
                <w:szCs w:val="18"/>
              </w:rPr>
              <w:t>子项</w:t>
            </w:r>
          </w:p>
        </w:tc>
        <w:tc>
          <w:tcPr>
            <w:tcW w:w="3814" w:type="dxa"/>
            <w:vAlign w:val="center"/>
          </w:tcPr>
          <w:p>
            <w:pPr>
              <w:spacing w:line="280" w:lineRule="exact"/>
              <w:jc w:val="center"/>
              <w:rPr>
                <w:rFonts w:cs="Times New Roman"/>
                <w:sz w:val="18"/>
                <w:szCs w:val="18"/>
              </w:rPr>
            </w:pPr>
            <w:r>
              <w:rPr>
                <w:rFonts w:cs="Times New Roman"/>
                <w:sz w:val="18"/>
                <w:szCs w:val="18"/>
              </w:rPr>
              <w:t>实施依据</w:t>
            </w:r>
          </w:p>
        </w:tc>
        <w:tc>
          <w:tcPr>
            <w:tcW w:w="2272" w:type="dxa"/>
            <w:vAlign w:val="center"/>
          </w:tcPr>
          <w:p>
            <w:pPr>
              <w:spacing w:line="280" w:lineRule="exact"/>
              <w:jc w:val="center"/>
              <w:rPr>
                <w:rFonts w:cs="Times New Roman"/>
                <w:sz w:val="18"/>
                <w:szCs w:val="18"/>
              </w:rPr>
            </w:pPr>
            <w:r>
              <w:rPr>
                <w:rFonts w:cs="Times New Roman"/>
                <w:sz w:val="18"/>
                <w:szCs w:val="18"/>
              </w:rPr>
              <w:t>责任事项</w:t>
            </w:r>
          </w:p>
        </w:tc>
        <w:tc>
          <w:tcPr>
            <w:tcW w:w="6257" w:type="dxa"/>
            <w:vAlign w:val="center"/>
          </w:tcPr>
          <w:p>
            <w:pPr>
              <w:spacing w:line="280" w:lineRule="exact"/>
              <w:jc w:val="center"/>
              <w:rPr>
                <w:rFonts w:cs="Times New Roman"/>
                <w:sz w:val="18"/>
                <w:szCs w:val="18"/>
              </w:rPr>
            </w:pPr>
            <w:r>
              <w:rPr>
                <w:rFonts w:cs="Times New Roman"/>
                <w:sz w:val="18"/>
                <w:szCs w:val="18"/>
              </w:rPr>
              <w:t>责任事项依据</w:t>
            </w:r>
          </w:p>
        </w:tc>
        <w:tc>
          <w:tcPr>
            <w:tcW w:w="1562" w:type="dxa"/>
            <w:vAlign w:val="center"/>
          </w:tcPr>
          <w:p>
            <w:pPr>
              <w:spacing w:line="280" w:lineRule="exact"/>
              <w:jc w:val="center"/>
              <w:rPr>
                <w:rFonts w:cs="Times New Roman"/>
                <w:sz w:val="18"/>
                <w:szCs w:val="18"/>
              </w:rPr>
            </w:pPr>
            <w:r>
              <w:rPr>
                <w:rFonts w:cs="Times New Roman"/>
                <w:sz w:val="18"/>
                <w:szCs w:val="18"/>
              </w:rPr>
              <w:t>追责情形</w:t>
            </w:r>
          </w:p>
        </w:tc>
        <w:tc>
          <w:tcPr>
            <w:tcW w:w="4687"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98" w:hRule="atLeast"/>
          <w:jc w:val="center"/>
        </w:trPr>
        <w:tc>
          <w:tcPr>
            <w:tcW w:w="697" w:type="dxa"/>
            <w:vAlign w:val="center"/>
          </w:tcPr>
          <w:p>
            <w:pPr>
              <w:spacing w:line="240" w:lineRule="exact"/>
              <w:rPr>
                <w:rFonts w:cs="Times New Roman"/>
                <w:sz w:val="18"/>
                <w:szCs w:val="18"/>
              </w:rPr>
            </w:pPr>
            <w:r>
              <w:rPr>
                <w:rFonts w:hint="eastAsia" w:cs="Times New Roman"/>
                <w:sz w:val="18"/>
                <w:szCs w:val="18"/>
              </w:rPr>
              <w:t>62</w:t>
            </w:r>
          </w:p>
        </w:tc>
        <w:tc>
          <w:tcPr>
            <w:tcW w:w="742"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强制</w:t>
            </w:r>
          </w:p>
        </w:tc>
        <w:tc>
          <w:tcPr>
            <w:tcW w:w="847" w:type="dxa"/>
            <w:vAlign w:val="center"/>
          </w:tcPr>
          <w:p>
            <w:pPr>
              <w:spacing w:line="240" w:lineRule="exact"/>
              <w:rPr>
                <w:rFonts w:cs="Times New Roman"/>
                <w:sz w:val="18"/>
                <w:szCs w:val="18"/>
              </w:rPr>
            </w:pPr>
            <w:r>
              <w:rPr>
                <w:rFonts w:hint="eastAsia" w:cs="Times New Roman"/>
                <w:sz w:val="18"/>
                <w:szCs w:val="18"/>
              </w:rPr>
              <w:t>代为捕回或者恢复原状</w:t>
            </w:r>
            <w:r>
              <w:rPr>
                <w:rFonts w:cs="Times New Roman"/>
                <w:sz w:val="18"/>
                <w:szCs w:val="18"/>
              </w:rPr>
              <w:t>的行政强制</w:t>
            </w:r>
          </w:p>
        </w:tc>
        <w:tc>
          <w:tcPr>
            <w:tcW w:w="770" w:type="dxa"/>
            <w:vAlign w:val="center"/>
          </w:tcPr>
          <w:p>
            <w:pPr>
              <w:spacing w:line="240" w:lineRule="exact"/>
              <w:rPr>
                <w:rFonts w:cs="Times New Roman"/>
                <w:sz w:val="18"/>
                <w:szCs w:val="18"/>
              </w:rPr>
            </w:pPr>
            <w:r>
              <w:rPr>
                <w:rFonts w:cs="Times New Roman"/>
                <w:sz w:val="18"/>
                <w:szCs w:val="18"/>
              </w:rPr>
              <w:t>　</w:t>
            </w:r>
          </w:p>
        </w:tc>
        <w:tc>
          <w:tcPr>
            <w:tcW w:w="3814" w:type="dxa"/>
            <w:vAlign w:val="center"/>
          </w:tcPr>
          <w:p>
            <w:pPr>
              <w:spacing w:line="240" w:lineRule="exact"/>
              <w:rPr>
                <w:rFonts w:cs="Times New Roman"/>
                <w:sz w:val="18"/>
                <w:szCs w:val="18"/>
              </w:rPr>
            </w:pPr>
            <w:r>
              <w:rPr>
                <w:rFonts w:cs="Times New Roman"/>
                <w:sz w:val="18"/>
                <w:szCs w:val="18"/>
              </w:rPr>
              <w:t>【法规】《中华人民共和国陆生野生动物保护实施条例》(1992年2月12日国务院批准，1992年3月1日林业部令第29号发布，2016年2月6日国务院令第666号修改）第四十一条　违反野生动物保护法规，被责令限期捕回而不捕的，被责令限期恢复原状而不恢复的，野生动物行政主管部门或者其授权的单位可以代为捕回或者恢复原状，由被责令限期捕回者或者被责令限期恢复原状者承担全部捕回或者恢复原状所需的费用。</w:t>
            </w:r>
          </w:p>
        </w:tc>
        <w:tc>
          <w:tcPr>
            <w:tcW w:w="2272" w:type="dxa"/>
            <w:vAlign w:val="center"/>
          </w:tcPr>
          <w:p>
            <w:pPr>
              <w:spacing w:line="240" w:lineRule="exact"/>
              <w:rPr>
                <w:rFonts w:cs="Times New Roman"/>
                <w:sz w:val="18"/>
                <w:szCs w:val="18"/>
              </w:rPr>
            </w:pPr>
            <w:r>
              <w:rPr>
                <w:rFonts w:cs="Times New Roman"/>
                <w:b/>
                <w:bCs/>
                <w:sz w:val="18"/>
                <w:szCs w:val="18"/>
              </w:rPr>
              <w:t xml:space="preserve"> 1.审查催告责任</w:t>
            </w:r>
            <w:r>
              <w:rPr>
                <w:rFonts w:cs="Times New Roman"/>
                <w:sz w:val="18"/>
                <w:szCs w:val="18"/>
              </w:rPr>
              <w:t>：审查当事人是否逾期不履行缴费义务，告知加处罚款或滞纳金的标准，加处罚款或滞纳金超过30日，催告当事人履行义务，依法制作催告书。</w:t>
            </w:r>
            <w:r>
              <w:rPr>
                <w:rFonts w:cs="Times New Roman"/>
                <w:sz w:val="18"/>
                <w:szCs w:val="18"/>
              </w:rPr>
              <w:br w:type="textWrapping"/>
            </w:r>
            <w:r>
              <w:rPr>
                <w:rFonts w:cs="Times New Roman"/>
                <w:b/>
                <w:bCs/>
                <w:sz w:val="18"/>
                <w:szCs w:val="18"/>
              </w:rPr>
              <w:t>2.决定责任</w:t>
            </w:r>
            <w:r>
              <w:rPr>
                <w:rFonts w:cs="Times New Roman"/>
                <w:sz w:val="18"/>
                <w:szCs w:val="18"/>
              </w:rPr>
              <w:t>：充分听取当事人提出的事实、理由和证据，进行记录和复核，无正当理由的，向本行政机关负责人报告，经批准作出强制执行决定，送达行政强制执行决定书.</w:t>
            </w:r>
            <w:r>
              <w:rPr>
                <w:rFonts w:cs="Times New Roman"/>
                <w:sz w:val="18"/>
                <w:szCs w:val="18"/>
              </w:rPr>
              <w:br w:type="textWrapping"/>
            </w:r>
            <w:r>
              <w:rPr>
                <w:rFonts w:cs="Times New Roman"/>
                <w:b/>
                <w:bCs/>
                <w:sz w:val="18"/>
                <w:szCs w:val="18"/>
              </w:rPr>
              <w:t>3.执行责任</w:t>
            </w:r>
            <w:r>
              <w:rPr>
                <w:rFonts w:cs="Times New Roman"/>
                <w:sz w:val="18"/>
                <w:szCs w:val="18"/>
              </w:rPr>
              <w:t>：送达行政强制执行决定书，收取加处罚或滞纳金，在规定期限内拒不执行的，可采取申请法院强制执行等措施</w:t>
            </w:r>
            <w:r>
              <w:rPr>
                <w:rFonts w:cs="Times New Roman"/>
                <w:sz w:val="18"/>
                <w:szCs w:val="18"/>
              </w:rPr>
              <w:br w:type="textWrapping"/>
            </w:r>
            <w:r>
              <w:rPr>
                <w:rFonts w:cs="Times New Roman"/>
                <w:b/>
                <w:bCs/>
                <w:sz w:val="18"/>
                <w:szCs w:val="18"/>
              </w:rPr>
              <w:t>4.监管责</w:t>
            </w:r>
            <w:r>
              <w:rPr>
                <w:rFonts w:cs="Times New Roman"/>
                <w:sz w:val="18"/>
                <w:szCs w:val="18"/>
              </w:rPr>
              <w:t>任：加强执法巡查和法规宣传</w:t>
            </w:r>
            <w:r>
              <w:rPr>
                <w:rFonts w:cs="Times New Roman"/>
                <w:sz w:val="18"/>
                <w:szCs w:val="18"/>
              </w:rPr>
              <w:br w:type="textWrapping"/>
            </w:r>
            <w:r>
              <w:rPr>
                <w:rFonts w:cs="Times New Roman"/>
                <w:b/>
                <w:bCs/>
                <w:sz w:val="18"/>
                <w:szCs w:val="18"/>
              </w:rPr>
              <w:t>5.其他法律法规规章文件规定应履行的责任.</w:t>
            </w:r>
          </w:p>
        </w:tc>
        <w:tc>
          <w:tcPr>
            <w:tcW w:w="6257"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r>
              <w:rPr>
                <w:rFonts w:hint="eastAsia" w:cs="Times New Roman"/>
                <w:sz w:val="18"/>
                <w:szCs w:val="18"/>
              </w:rPr>
              <w:t>。</w:t>
            </w:r>
            <w:r>
              <w:rPr>
                <w:rFonts w:cs="Times New Roman"/>
                <w:sz w:val="18"/>
                <w:szCs w:val="18"/>
              </w:rPr>
              <w:br w:type="textWrapping"/>
            </w:r>
            <w:r>
              <w:rPr>
                <w:rFonts w:cs="Times New Roman"/>
                <w:sz w:val="18"/>
                <w:szCs w:val="18"/>
              </w:rPr>
              <w:t xml:space="preserve">    2.【法律】《中华人民共和国行政强制法》（2011年6月30日主席令第四十九号）第三十七条经催告，当事人逾期仍不履行行政决定，且无正当理由的，行政机关可以作出强制执行决定. 强制执行决定应当以书面形式作出，并载明下列事项：（一）当事人的姓名或者名称、地址；（二）强制执行的理由和依据；（三）强制执行的方式和时间；（四）申请行政复议或者提起行政诉讼的途径和期限；（五）行政机关的名称、印章和日期</w:t>
            </w:r>
            <w:r>
              <w:rPr>
                <w:rFonts w:hint="eastAsia" w:cs="Times New Roman"/>
                <w:sz w:val="18"/>
                <w:szCs w:val="18"/>
              </w:rPr>
              <w:t>。</w:t>
            </w:r>
            <w:r>
              <w:rPr>
                <w:rFonts w:cs="Times New Roman"/>
                <w:sz w:val="18"/>
                <w:szCs w:val="18"/>
              </w:rPr>
              <w:t>在催告期间，对有证据证明有转移或者隐匿财物迹象的，行政机关可以作出立即强制执行决定</w:t>
            </w:r>
            <w:r>
              <w:rPr>
                <w:rFonts w:hint="eastAsia" w:cs="Times New Roman"/>
                <w:sz w:val="18"/>
                <w:szCs w:val="18"/>
              </w:rPr>
              <w:t>。</w:t>
            </w:r>
            <w:r>
              <w:rPr>
                <w:rFonts w:cs="Times New Roman"/>
                <w:sz w:val="18"/>
                <w:szCs w:val="18"/>
              </w:rPr>
              <w:br w:type="textWrapping"/>
            </w:r>
            <w:r>
              <w:rPr>
                <w:rFonts w:cs="Times New Roman"/>
                <w:sz w:val="18"/>
                <w:szCs w:val="18"/>
              </w:rPr>
              <w:t xml:space="preserve">    3.【法律】《中华人民共和国行政强制法》（2011年6月30日主席令第四十九号）第三十四条行政机关依法作出行政决定后，当事人在行政机关决定的期限内不履行义务的，具有行政强制执行权的行政机关依照本章规定强制执行</w:t>
            </w:r>
            <w:r>
              <w:rPr>
                <w:rFonts w:hint="eastAsia" w:cs="Times New Roman"/>
                <w:sz w:val="18"/>
                <w:szCs w:val="18"/>
              </w:rPr>
              <w:t>。第五十三条 当事人在法定期限内不申请行政复议或者提起行政诉讼，又不履行行政决定的，没有行政强制执行权的行政机关可以自期限届满之日起三个月内，依照本章规定申请人民法院强制执行。</w:t>
            </w:r>
            <w:r>
              <w:rPr>
                <w:rFonts w:cs="Times New Roman"/>
                <w:sz w:val="18"/>
                <w:szCs w:val="18"/>
              </w:rPr>
              <w:br w:type="textWrapping"/>
            </w:r>
            <w:r>
              <w:rPr>
                <w:rFonts w:cs="Times New Roman"/>
                <w:sz w:val="18"/>
                <w:szCs w:val="18"/>
              </w:rPr>
              <w:t xml:space="preserve">    4.同3.</w:t>
            </w:r>
          </w:p>
        </w:tc>
        <w:tc>
          <w:tcPr>
            <w:tcW w:w="1562"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1.无法定依据或者超越法定权限实施行政强制的；</w:t>
            </w:r>
            <w:r>
              <w:rPr>
                <w:rFonts w:cs="Times New Roman"/>
                <w:sz w:val="18"/>
                <w:szCs w:val="18"/>
              </w:rPr>
              <w:br w:type="textWrapping"/>
            </w:r>
            <w:r>
              <w:rPr>
                <w:rFonts w:cs="Times New Roman"/>
                <w:sz w:val="18"/>
                <w:szCs w:val="18"/>
              </w:rPr>
              <w:t>2.违反法定程序实施行政强制的；</w:t>
            </w:r>
            <w:r>
              <w:rPr>
                <w:rFonts w:cs="Times New Roman"/>
                <w:sz w:val="18"/>
                <w:szCs w:val="18"/>
              </w:rPr>
              <w:br w:type="textWrapping"/>
            </w:r>
            <w:r>
              <w:rPr>
                <w:rFonts w:cs="Times New Roman"/>
                <w:sz w:val="18"/>
                <w:szCs w:val="18"/>
              </w:rPr>
              <w:t>3.不具备行政执法资格实施行政强制的；</w:t>
            </w:r>
            <w:r>
              <w:rPr>
                <w:rFonts w:cs="Times New Roman"/>
                <w:sz w:val="18"/>
                <w:szCs w:val="18"/>
              </w:rPr>
              <w:br w:type="textWrapping"/>
            </w:r>
            <w:r>
              <w:rPr>
                <w:rFonts w:cs="Times New Roman"/>
                <w:sz w:val="18"/>
                <w:szCs w:val="18"/>
              </w:rPr>
              <w:t>4.违法扩大查封范围、使用或者损毁查封、扣押场所、设施或者财物等滥用职权的；</w:t>
            </w:r>
            <w:r>
              <w:rPr>
                <w:rFonts w:cs="Times New Roman"/>
                <w:sz w:val="18"/>
                <w:szCs w:val="18"/>
              </w:rPr>
              <w:br w:type="textWrapping"/>
            </w:r>
            <w:r>
              <w:rPr>
                <w:rFonts w:cs="Times New Roman"/>
                <w:sz w:val="18"/>
                <w:szCs w:val="18"/>
              </w:rPr>
              <w:t>5.利用行政强制权为单位或者个人谋取利益的；</w:t>
            </w:r>
            <w:r>
              <w:rPr>
                <w:rFonts w:cs="Times New Roman"/>
                <w:sz w:val="18"/>
                <w:szCs w:val="18"/>
              </w:rPr>
              <w:br w:type="textWrapping"/>
            </w:r>
            <w:r>
              <w:rPr>
                <w:rFonts w:cs="Times New Roman"/>
                <w:sz w:val="18"/>
                <w:szCs w:val="18"/>
              </w:rPr>
              <w:t>6.其他违反法律法规规章文件规定的行为.</w:t>
            </w:r>
          </w:p>
        </w:tc>
        <w:tc>
          <w:tcPr>
            <w:tcW w:w="4687"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cs="Times New Roman"/>
                <w:sz w:val="18"/>
                <w:szCs w:val="18"/>
              </w:rPr>
              <w:br w:type="textWrapping"/>
            </w:r>
            <w:r>
              <w:rPr>
                <w:rFonts w:cs="Times New Roman"/>
                <w:sz w:val="18"/>
                <w:szCs w:val="18"/>
              </w:rPr>
              <w:t xml:space="preserve">    2.同1. </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4.【法律】《中华人民共和国行政强制法》（2011年6月30日主席令第四十九号）第六十二条　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r>
              <w:rPr>
                <w:rFonts w:cs="Times New Roman"/>
                <w:sz w:val="18"/>
                <w:szCs w:val="18"/>
              </w:rPr>
              <w:br w:type="textWrapping"/>
            </w:r>
            <w:r>
              <w:rPr>
                <w:rFonts w:cs="Times New Roman"/>
                <w:sz w:val="18"/>
                <w:szCs w:val="18"/>
              </w:rPr>
              <w:t xml:space="preserve">    5.【法律】《中华人民共和国行政强制法》（2011年6月30日主席令第四十九号）第六十四条　行政机关及其工作人员利用行政强制权为单位或者个人谋取利益的，由上级行政机关或者有关部门责令改正，对直接负责的主管人员和其他直接责任人员依法给予处分。</w:t>
            </w:r>
            <w:r>
              <w:rPr>
                <w:rFonts w:cs="Times New Roman"/>
                <w:sz w:val="18"/>
                <w:szCs w:val="18"/>
              </w:rPr>
              <w:br w:type="textWrapping"/>
            </w:r>
            <w:r>
              <w:rPr>
                <w:rFonts w:hint="eastAsia" w:cs="Times New Roman"/>
                <w:sz w:val="18"/>
                <w:szCs w:val="18"/>
              </w:rPr>
              <w:t>、</w:t>
            </w:r>
          </w:p>
        </w:tc>
        <w:tc>
          <w:tcPr>
            <w:tcW w:w="612"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738"/>
        <w:gridCol w:w="806"/>
        <w:gridCol w:w="766"/>
        <w:gridCol w:w="3514"/>
        <w:gridCol w:w="2687"/>
        <w:gridCol w:w="6087"/>
        <w:gridCol w:w="1555"/>
        <w:gridCol w:w="4666"/>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732" w:type="dxa"/>
            <w:vAlign w:val="center"/>
          </w:tcPr>
          <w:p>
            <w:pPr>
              <w:spacing w:line="280" w:lineRule="exact"/>
              <w:jc w:val="center"/>
              <w:rPr>
                <w:rFonts w:cs="Times New Roman"/>
                <w:sz w:val="18"/>
                <w:szCs w:val="18"/>
              </w:rPr>
            </w:pPr>
            <w:r>
              <w:rPr>
                <w:rFonts w:cs="Times New Roman"/>
                <w:sz w:val="18"/>
                <w:szCs w:val="18"/>
              </w:rPr>
              <w:t>序号</w:t>
            </w:r>
          </w:p>
        </w:tc>
        <w:tc>
          <w:tcPr>
            <w:tcW w:w="738" w:type="dxa"/>
            <w:vAlign w:val="center"/>
          </w:tcPr>
          <w:p>
            <w:pPr>
              <w:spacing w:line="280" w:lineRule="exact"/>
              <w:jc w:val="center"/>
              <w:rPr>
                <w:rFonts w:cs="Times New Roman"/>
                <w:sz w:val="18"/>
                <w:szCs w:val="18"/>
              </w:rPr>
            </w:pPr>
            <w:r>
              <w:rPr>
                <w:rFonts w:cs="Times New Roman"/>
                <w:sz w:val="18"/>
                <w:szCs w:val="18"/>
              </w:rPr>
              <w:t>权力分类</w:t>
            </w:r>
          </w:p>
        </w:tc>
        <w:tc>
          <w:tcPr>
            <w:tcW w:w="806" w:type="dxa"/>
            <w:vAlign w:val="center"/>
          </w:tcPr>
          <w:p>
            <w:pPr>
              <w:spacing w:line="280" w:lineRule="exact"/>
              <w:jc w:val="center"/>
              <w:rPr>
                <w:rFonts w:cs="Times New Roman"/>
                <w:sz w:val="18"/>
                <w:szCs w:val="18"/>
              </w:rPr>
            </w:pPr>
            <w:r>
              <w:rPr>
                <w:rFonts w:cs="Times New Roman"/>
                <w:sz w:val="18"/>
                <w:szCs w:val="18"/>
              </w:rPr>
              <w:t>项目名称</w:t>
            </w:r>
          </w:p>
        </w:tc>
        <w:tc>
          <w:tcPr>
            <w:tcW w:w="766" w:type="dxa"/>
            <w:vAlign w:val="center"/>
          </w:tcPr>
          <w:p>
            <w:pPr>
              <w:spacing w:line="280" w:lineRule="exact"/>
              <w:jc w:val="center"/>
              <w:rPr>
                <w:rFonts w:cs="Times New Roman"/>
                <w:sz w:val="18"/>
                <w:szCs w:val="18"/>
              </w:rPr>
            </w:pPr>
            <w:r>
              <w:rPr>
                <w:rFonts w:cs="Times New Roman"/>
                <w:sz w:val="18"/>
                <w:szCs w:val="18"/>
              </w:rPr>
              <w:t>子项</w:t>
            </w:r>
          </w:p>
        </w:tc>
        <w:tc>
          <w:tcPr>
            <w:tcW w:w="3514" w:type="dxa"/>
            <w:vAlign w:val="center"/>
          </w:tcPr>
          <w:p>
            <w:pPr>
              <w:spacing w:line="280" w:lineRule="exact"/>
              <w:jc w:val="center"/>
              <w:rPr>
                <w:rFonts w:cs="Times New Roman"/>
                <w:sz w:val="18"/>
                <w:szCs w:val="18"/>
              </w:rPr>
            </w:pPr>
            <w:r>
              <w:rPr>
                <w:rFonts w:cs="Times New Roman"/>
                <w:sz w:val="18"/>
                <w:szCs w:val="18"/>
              </w:rPr>
              <w:t>实施依据</w:t>
            </w:r>
          </w:p>
        </w:tc>
        <w:tc>
          <w:tcPr>
            <w:tcW w:w="2687" w:type="dxa"/>
            <w:vAlign w:val="center"/>
          </w:tcPr>
          <w:p>
            <w:pPr>
              <w:spacing w:line="280" w:lineRule="exact"/>
              <w:jc w:val="center"/>
              <w:rPr>
                <w:rFonts w:cs="Times New Roman"/>
                <w:sz w:val="18"/>
                <w:szCs w:val="18"/>
              </w:rPr>
            </w:pPr>
            <w:r>
              <w:rPr>
                <w:rFonts w:cs="Times New Roman"/>
                <w:sz w:val="18"/>
                <w:szCs w:val="18"/>
              </w:rPr>
              <w:t>责任事项</w:t>
            </w:r>
          </w:p>
        </w:tc>
        <w:tc>
          <w:tcPr>
            <w:tcW w:w="6087" w:type="dxa"/>
            <w:vAlign w:val="center"/>
          </w:tcPr>
          <w:p>
            <w:pPr>
              <w:spacing w:line="280" w:lineRule="exact"/>
              <w:jc w:val="center"/>
              <w:rPr>
                <w:rFonts w:cs="Times New Roman"/>
                <w:sz w:val="18"/>
                <w:szCs w:val="18"/>
              </w:rPr>
            </w:pPr>
            <w:r>
              <w:rPr>
                <w:rFonts w:cs="Times New Roman"/>
                <w:sz w:val="18"/>
                <w:szCs w:val="18"/>
              </w:rPr>
              <w:t>责任事项依据</w:t>
            </w:r>
          </w:p>
        </w:tc>
        <w:tc>
          <w:tcPr>
            <w:tcW w:w="1555" w:type="dxa"/>
            <w:vAlign w:val="center"/>
          </w:tcPr>
          <w:p>
            <w:pPr>
              <w:spacing w:line="280" w:lineRule="exact"/>
              <w:jc w:val="center"/>
              <w:rPr>
                <w:rFonts w:cs="Times New Roman"/>
                <w:sz w:val="18"/>
                <w:szCs w:val="18"/>
              </w:rPr>
            </w:pPr>
            <w:r>
              <w:rPr>
                <w:rFonts w:cs="Times New Roman"/>
                <w:sz w:val="18"/>
                <w:szCs w:val="18"/>
              </w:rPr>
              <w:t>追责情形</w:t>
            </w:r>
          </w:p>
        </w:tc>
        <w:tc>
          <w:tcPr>
            <w:tcW w:w="4666" w:type="dxa"/>
            <w:vAlign w:val="center"/>
          </w:tcPr>
          <w:p>
            <w:pPr>
              <w:spacing w:line="280" w:lineRule="exact"/>
              <w:jc w:val="center"/>
              <w:rPr>
                <w:rFonts w:cs="Times New Roman"/>
                <w:sz w:val="18"/>
                <w:szCs w:val="18"/>
              </w:rPr>
            </w:pPr>
            <w:r>
              <w:rPr>
                <w:rFonts w:cs="Times New Roman"/>
                <w:sz w:val="18"/>
                <w:szCs w:val="18"/>
              </w:rPr>
              <w:t>追责依据</w:t>
            </w:r>
          </w:p>
        </w:tc>
        <w:tc>
          <w:tcPr>
            <w:tcW w:w="609"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1" w:hRule="atLeast"/>
          <w:jc w:val="center"/>
        </w:trPr>
        <w:tc>
          <w:tcPr>
            <w:tcW w:w="732" w:type="dxa"/>
            <w:vAlign w:val="center"/>
          </w:tcPr>
          <w:p>
            <w:pPr>
              <w:spacing w:line="240" w:lineRule="exact"/>
              <w:rPr>
                <w:rFonts w:cs="Times New Roman"/>
                <w:sz w:val="18"/>
                <w:szCs w:val="18"/>
              </w:rPr>
            </w:pPr>
            <w:r>
              <w:rPr>
                <w:rFonts w:hint="eastAsia" w:cs="Times New Roman"/>
                <w:sz w:val="18"/>
                <w:szCs w:val="18"/>
              </w:rPr>
              <w:t>63</w:t>
            </w:r>
          </w:p>
        </w:tc>
        <w:tc>
          <w:tcPr>
            <w:tcW w:w="738"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强制</w:t>
            </w:r>
          </w:p>
        </w:tc>
        <w:tc>
          <w:tcPr>
            <w:tcW w:w="806" w:type="dxa"/>
            <w:vAlign w:val="center"/>
          </w:tcPr>
          <w:p>
            <w:pPr>
              <w:spacing w:line="240" w:lineRule="exact"/>
              <w:rPr>
                <w:rFonts w:cs="Times New Roman"/>
                <w:sz w:val="18"/>
                <w:szCs w:val="18"/>
              </w:rPr>
            </w:pPr>
            <w:r>
              <w:rPr>
                <w:rFonts w:cs="Times New Roman"/>
                <w:sz w:val="18"/>
                <w:szCs w:val="18"/>
              </w:rPr>
              <w:t>对违反陆生野生动物保护管理法规行为的行政强制</w:t>
            </w:r>
          </w:p>
        </w:tc>
        <w:tc>
          <w:tcPr>
            <w:tcW w:w="766" w:type="dxa"/>
            <w:vAlign w:val="center"/>
          </w:tcPr>
          <w:p>
            <w:pPr>
              <w:spacing w:line="240" w:lineRule="exact"/>
              <w:rPr>
                <w:rFonts w:cs="Times New Roman"/>
                <w:sz w:val="18"/>
                <w:szCs w:val="18"/>
              </w:rPr>
            </w:pPr>
            <w:r>
              <w:rPr>
                <w:rFonts w:cs="Times New Roman"/>
                <w:sz w:val="18"/>
                <w:szCs w:val="18"/>
              </w:rPr>
              <w:t>　</w:t>
            </w:r>
          </w:p>
        </w:tc>
        <w:tc>
          <w:tcPr>
            <w:tcW w:w="3514" w:type="dxa"/>
            <w:vAlign w:val="center"/>
          </w:tcPr>
          <w:p>
            <w:pPr>
              <w:spacing w:line="240" w:lineRule="exact"/>
              <w:rPr>
                <w:rFonts w:cs="Times New Roman"/>
                <w:sz w:val="18"/>
                <w:szCs w:val="18"/>
              </w:rPr>
            </w:pPr>
            <w:r>
              <w:rPr>
                <w:rFonts w:cs="Times New Roman"/>
                <w:sz w:val="18"/>
                <w:szCs w:val="18"/>
              </w:rPr>
              <w:t>【法规】《广西壮族自治区陆生野生动物保护管理规定》（1994年7月29日广西壮族自治区第八届人大常委会第</w:t>
            </w:r>
            <w:r>
              <w:rPr>
                <w:rFonts w:hint="eastAsia" w:cs="Times New Roman"/>
                <w:sz w:val="18"/>
                <w:szCs w:val="18"/>
              </w:rPr>
              <w:t>十</w:t>
            </w:r>
            <w:r>
              <w:rPr>
                <w:rFonts w:cs="Times New Roman"/>
                <w:sz w:val="18"/>
                <w:szCs w:val="18"/>
              </w:rPr>
              <w:t>次会议通过，2012年3月23日</w:t>
            </w:r>
            <w:r>
              <w:rPr>
                <w:rFonts w:hint="eastAsia" w:cs="Times New Roman"/>
                <w:sz w:val="18"/>
                <w:szCs w:val="18"/>
              </w:rPr>
              <w:t>第四次</w:t>
            </w:r>
            <w:r>
              <w:rPr>
                <w:rFonts w:cs="Times New Roman"/>
                <w:sz w:val="18"/>
                <w:szCs w:val="18"/>
              </w:rPr>
              <w:t>修</w:t>
            </w:r>
            <w:r>
              <w:rPr>
                <w:rFonts w:hint="eastAsia" w:cs="Times New Roman"/>
                <w:sz w:val="18"/>
                <w:szCs w:val="18"/>
              </w:rPr>
              <w:t>改</w:t>
            </w:r>
            <w:r>
              <w:rPr>
                <w:rFonts w:cs="Times New Roman"/>
                <w:sz w:val="18"/>
                <w:szCs w:val="18"/>
              </w:rPr>
              <w:t>）第二十条林业行政主管部门或者工商行政管理部门监督检查违反陆生野生动物保护管理法规的行为时，有下列职权：……（四）可以查封、扣留违法经营的陆生野生动物及其产品、违法行为使用的物品及工具、与违法行为有关的合同、发票、帐单、记录及其他资料。</w:t>
            </w:r>
          </w:p>
        </w:tc>
        <w:tc>
          <w:tcPr>
            <w:tcW w:w="2687" w:type="dxa"/>
            <w:vAlign w:val="center"/>
          </w:tcPr>
          <w:p>
            <w:pPr>
              <w:spacing w:line="240" w:lineRule="exact"/>
              <w:rPr>
                <w:rFonts w:cs="Times New Roman"/>
                <w:sz w:val="18"/>
                <w:szCs w:val="18"/>
              </w:rPr>
            </w:pPr>
            <w:r>
              <w:rPr>
                <w:rFonts w:cs="Times New Roman"/>
                <w:b/>
                <w:bCs/>
                <w:sz w:val="18"/>
                <w:szCs w:val="18"/>
              </w:rPr>
              <w:t>1.审批责任</w:t>
            </w:r>
            <w:r>
              <w:rPr>
                <w:rFonts w:cs="Times New Roman"/>
                <w:sz w:val="18"/>
                <w:szCs w:val="18"/>
              </w:rPr>
              <w:t>：实施前须向行政机关负责人报告并经批准。情况紧急，需要当场实施的，应当在24小时内向负责人报告，并补办批准手续。</w:t>
            </w:r>
            <w:r>
              <w:rPr>
                <w:rFonts w:cs="Times New Roman"/>
                <w:sz w:val="18"/>
                <w:szCs w:val="18"/>
              </w:rPr>
              <w:br w:type="textWrapping"/>
            </w:r>
            <w:r>
              <w:rPr>
                <w:rFonts w:cs="Times New Roman"/>
                <w:b/>
                <w:bCs/>
                <w:sz w:val="18"/>
                <w:szCs w:val="18"/>
              </w:rPr>
              <w:t>2.实施责任</w:t>
            </w:r>
            <w:r>
              <w:rPr>
                <w:rFonts w:cs="Times New Roman"/>
                <w:sz w:val="18"/>
                <w:szCs w:val="18"/>
              </w:rPr>
              <w:t>：由两名以上行政执法人员实施并出示执法身份证件；通知当事人到场、听取当事人的陈述和申辩；制作现场笔录；当事人不到场的，邀请见证人到场，由见证人和行政执法人员在现场笔录上签名或者盖章等；</w:t>
            </w:r>
            <w:r>
              <w:rPr>
                <w:rFonts w:cs="Times New Roman"/>
                <w:sz w:val="18"/>
                <w:szCs w:val="18"/>
              </w:rPr>
              <w:br w:type="textWrapping"/>
            </w:r>
            <w:r>
              <w:rPr>
                <w:rFonts w:cs="Times New Roman"/>
                <w:b/>
                <w:bCs/>
                <w:sz w:val="18"/>
                <w:szCs w:val="18"/>
              </w:rPr>
              <w:t xml:space="preserve"> 3.告知责任</w:t>
            </w:r>
            <w:r>
              <w:rPr>
                <w:rFonts w:cs="Times New Roman"/>
                <w:sz w:val="18"/>
                <w:szCs w:val="18"/>
              </w:rPr>
              <w:t>：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cs="Times New Roman"/>
                <w:sz w:val="18"/>
                <w:szCs w:val="18"/>
              </w:rPr>
              <w:br w:type="textWrapping"/>
            </w:r>
            <w:r>
              <w:rPr>
                <w:rFonts w:cs="Times New Roman"/>
                <w:b/>
                <w:bCs/>
                <w:sz w:val="18"/>
                <w:szCs w:val="18"/>
              </w:rPr>
              <w:t xml:space="preserve"> 4.监管责任</w:t>
            </w:r>
            <w:r>
              <w:rPr>
                <w:rFonts w:cs="Times New Roman"/>
                <w:sz w:val="18"/>
                <w:szCs w:val="18"/>
              </w:rPr>
              <w:t>：应当妥善保管查封、扣押的财物，严禁动用、调换、损毁。及时查清事实，在查封扣押后25日内做出处理决定。</w:t>
            </w:r>
            <w:r>
              <w:rPr>
                <w:rFonts w:cs="Times New Roman"/>
                <w:sz w:val="18"/>
                <w:szCs w:val="18"/>
              </w:rPr>
              <w:br w:type="textWrapping"/>
            </w:r>
            <w:r>
              <w:rPr>
                <w:rFonts w:cs="Times New Roman"/>
                <w:b/>
                <w:bCs/>
                <w:sz w:val="18"/>
                <w:szCs w:val="18"/>
              </w:rPr>
              <w:t>5.其他法律法规规章文件规定要求履行的责任。</w:t>
            </w:r>
          </w:p>
        </w:tc>
        <w:tc>
          <w:tcPr>
            <w:tcW w:w="6087"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1.【法律】《中华人民共和国行政强制法》（2011年6月30日主席令第四十九号）第十八条　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4.【法律】《中华人民共和国行政强制法》（2011年6月30日主席令第四十九号）第二十七条　行政机关采取查封、扣押措施后，应当及时查清事实，在本法第二十五条规定的期限内作出处理决定。对违法事实清楚，依法应当没收的非法财物予以没收；法律、法规规定应当销毁的，依法销毁；应当解除查封、扣押的，作出解除查封、扣押的决定。</w:t>
            </w:r>
          </w:p>
        </w:tc>
        <w:tc>
          <w:tcPr>
            <w:tcW w:w="1555"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1.无法定依据或者超越法定权限实施行政强制的；</w:t>
            </w:r>
            <w:r>
              <w:rPr>
                <w:rFonts w:cs="Times New Roman"/>
                <w:sz w:val="18"/>
                <w:szCs w:val="18"/>
              </w:rPr>
              <w:br w:type="textWrapping"/>
            </w:r>
            <w:r>
              <w:rPr>
                <w:rFonts w:cs="Times New Roman"/>
                <w:sz w:val="18"/>
                <w:szCs w:val="18"/>
              </w:rPr>
              <w:t>2.违反法定程序实施行政强制的；</w:t>
            </w:r>
            <w:r>
              <w:rPr>
                <w:rFonts w:cs="Times New Roman"/>
                <w:sz w:val="18"/>
                <w:szCs w:val="18"/>
              </w:rPr>
              <w:br w:type="textWrapping"/>
            </w:r>
            <w:r>
              <w:rPr>
                <w:rFonts w:cs="Times New Roman"/>
                <w:sz w:val="18"/>
                <w:szCs w:val="18"/>
              </w:rPr>
              <w:t>3.不具备行政执法资格实施行政强制的；</w:t>
            </w:r>
            <w:r>
              <w:rPr>
                <w:rFonts w:cs="Times New Roman"/>
                <w:sz w:val="18"/>
                <w:szCs w:val="18"/>
              </w:rPr>
              <w:br w:type="textWrapping"/>
            </w:r>
            <w:r>
              <w:rPr>
                <w:rFonts w:cs="Times New Roman"/>
                <w:sz w:val="18"/>
                <w:szCs w:val="18"/>
              </w:rPr>
              <w:t>4.违法扩大查封范围、使用或者损毁查封、扣押场所、设施或者财物等滥用职权的；</w:t>
            </w:r>
            <w:r>
              <w:rPr>
                <w:rFonts w:cs="Times New Roman"/>
                <w:sz w:val="18"/>
                <w:szCs w:val="18"/>
              </w:rPr>
              <w:br w:type="textWrapping"/>
            </w:r>
            <w:r>
              <w:rPr>
                <w:rFonts w:cs="Times New Roman"/>
                <w:sz w:val="18"/>
                <w:szCs w:val="18"/>
              </w:rPr>
              <w:t>5.利用行政强制权为单位或者个人谋取利益的；</w:t>
            </w:r>
            <w:r>
              <w:rPr>
                <w:rFonts w:cs="Times New Roman"/>
                <w:sz w:val="18"/>
                <w:szCs w:val="18"/>
              </w:rPr>
              <w:br w:type="textWrapping"/>
            </w:r>
            <w:r>
              <w:rPr>
                <w:rFonts w:cs="Times New Roman"/>
                <w:sz w:val="18"/>
                <w:szCs w:val="18"/>
              </w:rPr>
              <w:t>6.其他违反法律法规规章文件规定的行为.</w:t>
            </w:r>
          </w:p>
        </w:tc>
        <w:tc>
          <w:tcPr>
            <w:tcW w:w="4666"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cs="Times New Roman"/>
                <w:sz w:val="18"/>
                <w:szCs w:val="18"/>
              </w:rPr>
              <w:br w:type="textWrapping"/>
            </w:r>
            <w:r>
              <w:rPr>
                <w:rFonts w:cs="Times New Roman"/>
                <w:sz w:val="18"/>
                <w:szCs w:val="18"/>
              </w:rPr>
              <w:t xml:space="preserve">    2.同1. </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4.【法律】《中华人民共和国行政强制法》（2011年6月30日主席令第四十九号）第六十二条　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r>
              <w:rPr>
                <w:rFonts w:cs="Times New Roman"/>
                <w:sz w:val="18"/>
                <w:szCs w:val="18"/>
              </w:rPr>
              <w:br w:type="textWrapping"/>
            </w:r>
            <w:r>
              <w:rPr>
                <w:rFonts w:cs="Times New Roman"/>
                <w:sz w:val="18"/>
                <w:szCs w:val="18"/>
              </w:rPr>
              <w:t xml:space="preserve">    5.【法律】《中华人民共和国行政强制法》（2011年6月30日主席令第四十九号）第六十四条　行政机关及其工作人员利用行政强制权为单位或者个人谋取利益的，由上级行政机关或者有关部门责令改正，对直接负责的主管人员和其他直接责任人员依法给予处分。</w:t>
            </w:r>
            <w:r>
              <w:rPr>
                <w:rFonts w:cs="Times New Roman"/>
                <w:sz w:val="18"/>
                <w:szCs w:val="18"/>
              </w:rPr>
              <w:br w:type="textWrapping"/>
            </w:r>
          </w:p>
        </w:tc>
        <w:tc>
          <w:tcPr>
            <w:tcW w:w="609"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730"/>
        <w:gridCol w:w="838"/>
        <w:gridCol w:w="797"/>
        <w:gridCol w:w="3548"/>
        <w:gridCol w:w="2729"/>
        <w:gridCol w:w="6180"/>
        <w:gridCol w:w="1579"/>
        <w:gridCol w:w="4737"/>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43" w:type="dxa"/>
            <w:vAlign w:val="center"/>
          </w:tcPr>
          <w:p>
            <w:pPr>
              <w:spacing w:line="280" w:lineRule="exact"/>
              <w:jc w:val="center"/>
              <w:rPr>
                <w:rFonts w:cs="Times New Roman"/>
                <w:sz w:val="18"/>
                <w:szCs w:val="18"/>
              </w:rPr>
            </w:pPr>
            <w:r>
              <w:rPr>
                <w:rFonts w:cs="Times New Roman"/>
                <w:sz w:val="18"/>
                <w:szCs w:val="18"/>
              </w:rPr>
              <w:t>序号</w:t>
            </w:r>
          </w:p>
        </w:tc>
        <w:tc>
          <w:tcPr>
            <w:tcW w:w="730" w:type="dxa"/>
            <w:vAlign w:val="center"/>
          </w:tcPr>
          <w:p>
            <w:pPr>
              <w:spacing w:line="280" w:lineRule="exact"/>
              <w:jc w:val="center"/>
              <w:rPr>
                <w:rFonts w:cs="Times New Roman"/>
                <w:sz w:val="18"/>
                <w:szCs w:val="18"/>
              </w:rPr>
            </w:pPr>
            <w:r>
              <w:rPr>
                <w:rFonts w:cs="Times New Roman"/>
                <w:sz w:val="18"/>
                <w:szCs w:val="18"/>
              </w:rPr>
              <w:t>权力分类</w:t>
            </w:r>
          </w:p>
        </w:tc>
        <w:tc>
          <w:tcPr>
            <w:tcW w:w="838" w:type="dxa"/>
            <w:vAlign w:val="center"/>
          </w:tcPr>
          <w:p>
            <w:pPr>
              <w:spacing w:line="280" w:lineRule="exact"/>
              <w:jc w:val="center"/>
              <w:rPr>
                <w:rFonts w:cs="Times New Roman"/>
                <w:sz w:val="18"/>
                <w:szCs w:val="18"/>
              </w:rPr>
            </w:pPr>
            <w:r>
              <w:rPr>
                <w:rFonts w:cs="Times New Roman"/>
                <w:sz w:val="18"/>
                <w:szCs w:val="18"/>
              </w:rPr>
              <w:t>项目名称</w:t>
            </w:r>
          </w:p>
        </w:tc>
        <w:tc>
          <w:tcPr>
            <w:tcW w:w="797" w:type="dxa"/>
            <w:vAlign w:val="center"/>
          </w:tcPr>
          <w:p>
            <w:pPr>
              <w:spacing w:line="280" w:lineRule="exact"/>
              <w:jc w:val="center"/>
              <w:rPr>
                <w:rFonts w:cs="Times New Roman"/>
                <w:sz w:val="18"/>
                <w:szCs w:val="18"/>
              </w:rPr>
            </w:pPr>
            <w:r>
              <w:rPr>
                <w:rFonts w:cs="Times New Roman"/>
                <w:sz w:val="18"/>
                <w:szCs w:val="18"/>
              </w:rPr>
              <w:t>子项</w:t>
            </w:r>
          </w:p>
        </w:tc>
        <w:tc>
          <w:tcPr>
            <w:tcW w:w="3548" w:type="dxa"/>
            <w:vAlign w:val="center"/>
          </w:tcPr>
          <w:p>
            <w:pPr>
              <w:spacing w:line="280" w:lineRule="exact"/>
              <w:jc w:val="center"/>
              <w:rPr>
                <w:rFonts w:cs="Times New Roman"/>
                <w:sz w:val="18"/>
                <w:szCs w:val="18"/>
              </w:rPr>
            </w:pPr>
            <w:r>
              <w:rPr>
                <w:rFonts w:cs="Times New Roman"/>
                <w:sz w:val="18"/>
                <w:szCs w:val="18"/>
              </w:rPr>
              <w:t>实施依据</w:t>
            </w:r>
          </w:p>
        </w:tc>
        <w:tc>
          <w:tcPr>
            <w:tcW w:w="2729" w:type="dxa"/>
            <w:vAlign w:val="center"/>
          </w:tcPr>
          <w:p>
            <w:pPr>
              <w:spacing w:line="280" w:lineRule="exact"/>
              <w:jc w:val="center"/>
              <w:rPr>
                <w:rFonts w:cs="Times New Roman"/>
                <w:sz w:val="18"/>
                <w:szCs w:val="18"/>
              </w:rPr>
            </w:pPr>
            <w:r>
              <w:rPr>
                <w:rFonts w:cs="Times New Roman"/>
                <w:sz w:val="18"/>
                <w:szCs w:val="18"/>
              </w:rPr>
              <w:t>责任事项</w:t>
            </w:r>
          </w:p>
        </w:tc>
        <w:tc>
          <w:tcPr>
            <w:tcW w:w="6180" w:type="dxa"/>
            <w:vAlign w:val="center"/>
          </w:tcPr>
          <w:p>
            <w:pPr>
              <w:spacing w:line="280" w:lineRule="exact"/>
              <w:jc w:val="center"/>
              <w:rPr>
                <w:rFonts w:cs="Times New Roman"/>
                <w:sz w:val="18"/>
                <w:szCs w:val="18"/>
              </w:rPr>
            </w:pPr>
            <w:r>
              <w:rPr>
                <w:rFonts w:cs="Times New Roman"/>
                <w:sz w:val="18"/>
                <w:szCs w:val="18"/>
              </w:rPr>
              <w:t>责任事项依据</w:t>
            </w:r>
          </w:p>
        </w:tc>
        <w:tc>
          <w:tcPr>
            <w:tcW w:w="1579" w:type="dxa"/>
            <w:vAlign w:val="center"/>
          </w:tcPr>
          <w:p>
            <w:pPr>
              <w:spacing w:line="280" w:lineRule="exact"/>
              <w:jc w:val="center"/>
              <w:rPr>
                <w:rFonts w:cs="Times New Roman"/>
                <w:sz w:val="18"/>
                <w:szCs w:val="18"/>
              </w:rPr>
            </w:pPr>
            <w:r>
              <w:rPr>
                <w:rFonts w:cs="Times New Roman"/>
                <w:sz w:val="18"/>
                <w:szCs w:val="18"/>
              </w:rPr>
              <w:t>追责情形</w:t>
            </w:r>
          </w:p>
        </w:tc>
        <w:tc>
          <w:tcPr>
            <w:tcW w:w="4737" w:type="dxa"/>
            <w:vAlign w:val="center"/>
          </w:tcPr>
          <w:p>
            <w:pPr>
              <w:spacing w:line="280" w:lineRule="exact"/>
              <w:jc w:val="center"/>
              <w:rPr>
                <w:rFonts w:cs="Times New Roman"/>
                <w:sz w:val="18"/>
                <w:szCs w:val="18"/>
              </w:rPr>
            </w:pPr>
            <w:r>
              <w:rPr>
                <w:rFonts w:cs="Times New Roman"/>
                <w:sz w:val="18"/>
                <w:szCs w:val="18"/>
              </w:rPr>
              <w:t>追责依据</w:t>
            </w:r>
          </w:p>
        </w:tc>
        <w:tc>
          <w:tcPr>
            <w:tcW w:w="619"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9" w:hRule="atLeast"/>
          <w:jc w:val="center"/>
        </w:trPr>
        <w:tc>
          <w:tcPr>
            <w:tcW w:w="743" w:type="dxa"/>
            <w:vAlign w:val="center"/>
          </w:tcPr>
          <w:p>
            <w:pPr>
              <w:spacing w:line="240" w:lineRule="exact"/>
              <w:rPr>
                <w:rFonts w:cs="Times New Roman"/>
                <w:sz w:val="18"/>
                <w:szCs w:val="18"/>
              </w:rPr>
            </w:pPr>
            <w:r>
              <w:rPr>
                <w:rFonts w:hint="eastAsia" w:cs="Times New Roman"/>
                <w:sz w:val="18"/>
                <w:szCs w:val="18"/>
              </w:rPr>
              <w:t>64</w:t>
            </w:r>
          </w:p>
        </w:tc>
        <w:tc>
          <w:tcPr>
            <w:tcW w:w="73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强制</w:t>
            </w:r>
          </w:p>
        </w:tc>
        <w:tc>
          <w:tcPr>
            <w:tcW w:w="838" w:type="dxa"/>
            <w:vAlign w:val="center"/>
          </w:tcPr>
          <w:p>
            <w:pPr>
              <w:spacing w:line="240" w:lineRule="exact"/>
              <w:rPr>
                <w:rFonts w:cs="Times New Roman"/>
                <w:sz w:val="18"/>
                <w:szCs w:val="18"/>
              </w:rPr>
            </w:pPr>
            <w:r>
              <w:rPr>
                <w:rFonts w:cs="Times New Roman"/>
                <w:sz w:val="18"/>
                <w:szCs w:val="18"/>
              </w:rPr>
              <w:t>对违反规定调运的森林植物及其产品予以封存、没收、销毁或者责令改变用途</w:t>
            </w:r>
          </w:p>
        </w:tc>
        <w:tc>
          <w:tcPr>
            <w:tcW w:w="797" w:type="dxa"/>
            <w:vAlign w:val="center"/>
          </w:tcPr>
          <w:p>
            <w:pPr>
              <w:spacing w:line="240" w:lineRule="exact"/>
              <w:rPr>
                <w:rFonts w:cs="Times New Roman"/>
                <w:sz w:val="18"/>
                <w:szCs w:val="18"/>
              </w:rPr>
            </w:pPr>
            <w:r>
              <w:rPr>
                <w:rFonts w:cs="Times New Roman"/>
                <w:sz w:val="18"/>
                <w:szCs w:val="18"/>
              </w:rPr>
              <w:t>　</w:t>
            </w:r>
          </w:p>
        </w:tc>
        <w:tc>
          <w:tcPr>
            <w:tcW w:w="3548" w:type="dxa"/>
            <w:vAlign w:val="center"/>
          </w:tcPr>
          <w:p>
            <w:pPr>
              <w:pStyle w:val="5"/>
              <w:shd w:val="clear" w:color="auto" w:fill="FFFFFF"/>
              <w:spacing w:line="240" w:lineRule="exact"/>
              <w:rPr>
                <w:rFonts w:cs="Times New Roman"/>
                <w:sz w:val="18"/>
                <w:szCs w:val="18"/>
              </w:rPr>
            </w:pPr>
            <w:r>
              <w:rPr>
                <w:rFonts w:cs="Times New Roman"/>
                <w:sz w:val="18"/>
                <w:szCs w:val="18"/>
              </w:rPr>
              <w:t>【法规】《植物检疫条例》（1992年5月13日国务院令第98号修订）第十八条</w:t>
            </w:r>
            <w:r>
              <w:rPr>
                <w:rFonts w:hint="eastAsia"/>
                <w:color w:val="000000"/>
                <w:sz w:val="18"/>
                <w:szCs w:val="18"/>
              </w:rPr>
              <w:t>有下列行为之一的，植物检疫机构应当责令纠正，可以处以罚款；造成损失的，应当负责赔偿；构成犯罪的，由司法机关依法追究刑事责任：　　（一）未依照本条例规定办理植物检疫证书或者在报检过程中弄虚作假的；（二）伪造、涂改、买卖、转让植物检疫单证、印章、标志、封识的；（三）未依照本条例规定调运、隔离试种或者生产应施检疫的植物、植物产品的；（四）违反本条例规定，擅自开拆植物、植物产品包装，调换植物、植物产品，或者擅自改变植物、植物产品的规定用途的；（五）违反本条例规定，引起疫情扩散的。有前款第（一）、（二）、（三）、（四）项所列情形之一，尚不构成犯罪的，植物检疫机构可以没收非法所得。对违反本条例规定调运的植物和植物产品，植物检疫机构有权予以封存、没收、销毁或者责令改变用途。销毁所需费用由责任人承担。</w:t>
            </w:r>
          </w:p>
        </w:tc>
        <w:tc>
          <w:tcPr>
            <w:tcW w:w="2729" w:type="dxa"/>
            <w:vAlign w:val="center"/>
          </w:tcPr>
          <w:p>
            <w:pPr>
              <w:spacing w:line="240" w:lineRule="exact"/>
              <w:rPr>
                <w:rFonts w:cs="Times New Roman"/>
                <w:sz w:val="18"/>
                <w:szCs w:val="18"/>
              </w:rPr>
            </w:pPr>
            <w:r>
              <w:rPr>
                <w:rFonts w:cs="Times New Roman"/>
                <w:b/>
                <w:bCs/>
                <w:sz w:val="18"/>
                <w:szCs w:val="18"/>
              </w:rPr>
              <w:t>1.审批责任</w:t>
            </w:r>
            <w:r>
              <w:rPr>
                <w:rFonts w:cs="Times New Roman"/>
                <w:sz w:val="18"/>
                <w:szCs w:val="18"/>
              </w:rPr>
              <w:t>：实施前须向行政机关负责人报告并经批准。情况紧急，需要当场实施的，应当在24小时内向负责人报告，并补办批准手续。</w:t>
            </w:r>
            <w:r>
              <w:rPr>
                <w:rFonts w:cs="Times New Roman"/>
                <w:sz w:val="18"/>
                <w:szCs w:val="18"/>
              </w:rPr>
              <w:br w:type="textWrapping"/>
            </w:r>
            <w:r>
              <w:rPr>
                <w:rFonts w:cs="Times New Roman"/>
                <w:b/>
                <w:bCs/>
                <w:sz w:val="18"/>
                <w:szCs w:val="18"/>
              </w:rPr>
              <w:t>2.实施责任</w:t>
            </w:r>
            <w:r>
              <w:rPr>
                <w:rFonts w:cs="Times New Roman"/>
                <w:sz w:val="18"/>
                <w:szCs w:val="18"/>
              </w:rPr>
              <w:t>：由两名以上行政执法人员实施并出示执法身份证件；通知当事人到场、听取当事人的陈述和申辩；制作现场笔录；当事人不到场的，邀请见证人到场，由见证人和行政执法人员在现场笔录上签名或者盖章等；</w:t>
            </w:r>
            <w:r>
              <w:rPr>
                <w:rFonts w:cs="Times New Roman"/>
                <w:sz w:val="18"/>
                <w:szCs w:val="18"/>
              </w:rPr>
              <w:br w:type="textWrapping"/>
            </w:r>
            <w:r>
              <w:rPr>
                <w:rFonts w:cs="Times New Roman"/>
                <w:b/>
                <w:bCs/>
                <w:sz w:val="18"/>
                <w:szCs w:val="18"/>
              </w:rPr>
              <w:t xml:space="preserve"> 3.告知责任</w:t>
            </w:r>
            <w:r>
              <w:rPr>
                <w:rFonts w:cs="Times New Roman"/>
                <w:sz w:val="18"/>
                <w:szCs w:val="18"/>
              </w:rPr>
              <w:t>：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cs="Times New Roman"/>
                <w:sz w:val="18"/>
                <w:szCs w:val="18"/>
              </w:rPr>
              <w:br w:type="textWrapping"/>
            </w:r>
            <w:r>
              <w:rPr>
                <w:rFonts w:cs="Times New Roman"/>
                <w:b/>
                <w:bCs/>
                <w:sz w:val="18"/>
                <w:szCs w:val="18"/>
              </w:rPr>
              <w:t xml:space="preserve"> 4.监管责任</w:t>
            </w:r>
            <w:r>
              <w:rPr>
                <w:rFonts w:cs="Times New Roman"/>
                <w:sz w:val="18"/>
                <w:szCs w:val="18"/>
              </w:rPr>
              <w:t>：应当妥善保管查封、扣押的财物，严禁动用、调换、损毁。及时查清事实，在查封扣押后25日内做出处理决定。</w:t>
            </w:r>
            <w:r>
              <w:rPr>
                <w:rFonts w:cs="Times New Roman"/>
                <w:sz w:val="18"/>
                <w:szCs w:val="18"/>
              </w:rPr>
              <w:br w:type="textWrapping"/>
            </w:r>
            <w:r>
              <w:rPr>
                <w:rFonts w:cs="Times New Roman"/>
                <w:b/>
                <w:bCs/>
                <w:sz w:val="18"/>
                <w:szCs w:val="18"/>
              </w:rPr>
              <w:t>5.其他法律法规规章文件规定要求履行的责任。</w:t>
            </w:r>
          </w:p>
        </w:tc>
        <w:tc>
          <w:tcPr>
            <w:tcW w:w="6180" w:type="dxa"/>
            <w:vAlign w:val="center"/>
          </w:tcPr>
          <w:p>
            <w:pPr>
              <w:spacing w:line="240" w:lineRule="exact"/>
              <w:rPr>
                <w:rFonts w:cs="Times New Roman"/>
                <w:sz w:val="18"/>
                <w:szCs w:val="18"/>
              </w:rPr>
            </w:pPr>
            <w:r>
              <w:rPr>
                <w:rFonts w:cs="Times New Roman"/>
                <w:sz w:val="18"/>
                <w:szCs w:val="18"/>
              </w:rPr>
              <w:t>1.【法律】《中华人民共和国行政强制法》（2011年6月30日主席令第四十九号）第十八条　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4.【法律】《中华人民共和国行政强制法》（2011年6月30日主席令第四十九号）第二十七条　行政机关采取查封、扣押措施后，应当及时查清事实，在本法第二十五条规定的期限内作出处理决定。对违法事实清楚，依法应当没收的非法财物予以没收；法律、法规规定应当销毁的，依法销毁；应当解除查封、扣押的，作出解除查封、扣押的决定。</w:t>
            </w:r>
          </w:p>
        </w:tc>
        <w:tc>
          <w:tcPr>
            <w:tcW w:w="1579"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1.无法定依据或者超越法定权限实施行政强制的；</w:t>
            </w:r>
            <w:r>
              <w:rPr>
                <w:rFonts w:cs="Times New Roman"/>
                <w:sz w:val="18"/>
                <w:szCs w:val="18"/>
              </w:rPr>
              <w:br w:type="textWrapping"/>
            </w:r>
            <w:r>
              <w:rPr>
                <w:rFonts w:cs="Times New Roman"/>
                <w:sz w:val="18"/>
                <w:szCs w:val="18"/>
              </w:rPr>
              <w:t>2.违反法定程序实施行政强制的；</w:t>
            </w:r>
            <w:r>
              <w:rPr>
                <w:rFonts w:cs="Times New Roman"/>
                <w:sz w:val="18"/>
                <w:szCs w:val="18"/>
              </w:rPr>
              <w:br w:type="textWrapping"/>
            </w:r>
            <w:r>
              <w:rPr>
                <w:rFonts w:cs="Times New Roman"/>
                <w:sz w:val="18"/>
                <w:szCs w:val="18"/>
              </w:rPr>
              <w:t>3.不具备行政执法资格实施行政强制的；</w:t>
            </w:r>
            <w:r>
              <w:rPr>
                <w:rFonts w:cs="Times New Roman"/>
                <w:sz w:val="18"/>
                <w:szCs w:val="18"/>
              </w:rPr>
              <w:br w:type="textWrapping"/>
            </w:r>
            <w:r>
              <w:rPr>
                <w:rFonts w:cs="Times New Roman"/>
                <w:sz w:val="18"/>
                <w:szCs w:val="18"/>
              </w:rPr>
              <w:t>4.违法扩大查封范围、使用或者损毁查封、扣押场所、设施或者财物等滥用职权的；</w:t>
            </w:r>
            <w:r>
              <w:rPr>
                <w:rFonts w:cs="Times New Roman"/>
                <w:sz w:val="18"/>
                <w:szCs w:val="18"/>
              </w:rPr>
              <w:br w:type="textWrapping"/>
            </w:r>
            <w:r>
              <w:rPr>
                <w:rFonts w:cs="Times New Roman"/>
                <w:sz w:val="18"/>
                <w:szCs w:val="18"/>
              </w:rPr>
              <w:t>5.利用行政强制权为单位或者个人谋取利益的；</w:t>
            </w:r>
            <w:r>
              <w:rPr>
                <w:rFonts w:cs="Times New Roman"/>
                <w:sz w:val="18"/>
                <w:szCs w:val="18"/>
              </w:rPr>
              <w:br w:type="textWrapping"/>
            </w:r>
            <w:r>
              <w:rPr>
                <w:rFonts w:cs="Times New Roman"/>
                <w:sz w:val="18"/>
                <w:szCs w:val="18"/>
              </w:rPr>
              <w:t>6.其他违反法律法规规章文件规定的行为.</w:t>
            </w:r>
          </w:p>
        </w:tc>
        <w:tc>
          <w:tcPr>
            <w:tcW w:w="4737"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cs="Times New Roman"/>
                <w:sz w:val="18"/>
                <w:szCs w:val="18"/>
              </w:rPr>
              <w:br w:type="textWrapping"/>
            </w:r>
            <w:r>
              <w:rPr>
                <w:rFonts w:cs="Times New Roman"/>
                <w:sz w:val="18"/>
                <w:szCs w:val="18"/>
              </w:rPr>
              <w:t xml:space="preserve">    2.同1. </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4.【法律】《中华人民共和国行政强制法》（2011年6月30日主席令第四十九号）第六十二条　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r>
              <w:rPr>
                <w:rFonts w:cs="Times New Roman"/>
                <w:sz w:val="18"/>
                <w:szCs w:val="18"/>
              </w:rPr>
              <w:br w:type="textWrapping"/>
            </w:r>
            <w:r>
              <w:rPr>
                <w:rFonts w:cs="Times New Roman"/>
                <w:sz w:val="18"/>
                <w:szCs w:val="18"/>
              </w:rPr>
              <w:t xml:space="preserve">    5.【法律】《中华人民共和国行政强制法》（2011年6月30日主席令第四十九号）第六十四条　行政机关及其工作人员利用行政强制权为单位或者个人谋取利益的，由上级行政机关或者有关部门责令改正，对直接负责的主管人员和其他直接责任人员依法给予处分。</w:t>
            </w:r>
            <w:r>
              <w:rPr>
                <w:rFonts w:cs="Times New Roman"/>
                <w:sz w:val="18"/>
                <w:szCs w:val="18"/>
              </w:rPr>
              <w:br w:type="textWrapping"/>
            </w:r>
          </w:p>
        </w:tc>
        <w:tc>
          <w:tcPr>
            <w:tcW w:w="619"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723"/>
        <w:gridCol w:w="847"/>
        <w:gridCol w:w="751"/>
        <w:gridCol w:w="3548"/>
        <w:gridCol w:w="2700"/>
        <w:gridCol w:w="6114"/>
        <w:gridCol w:w="1562"/>
        <w:gridCol w:w="4687"/>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716" w:type="dxa"/>
            <w:vAlign w:val="center"/>
          </w:tcPr>
          <w:p>
            <w:pPr>
              <w:spacing w:line="280" w:lineRule="exact"/>
              <w:jc w:val="center"/>
              <w:rPr>
                <w:rFonts w:cs="Times New Roman"/>
                <w:sz w:val="18"/>
                <w:szCs w:val="18"/>
              </w:rPr>
            </w:pPr>
            <w:r>
              <w:rPr>
                <w:rFonts w:cs="Times New Roman"/>
                <w:sz w:val="18"/>
                <w:szCs w:val="18"/>
              </w:rPr>
              <w:t>序号</w:t>
            </w:r>
          </w:p>
        </w:tc>
        <w:tc>
          <w:tcPr>
            <w:tcW w:w="723" w:type="dxa"/>
            <w:vAlign w:val="center"/>
          </w:tcPr>
          <w:p>
            <w:pPr>
              <w:spacing w:line="280" w:lineRule="exact"/>
              <w:jc w:val="center"/>
              <w:rPr>
                <w:rFonts w:cs="Times New Roman"/>
                <w:sz w:val="18"/>
                <w:szCs w:val="18"/>
              </w:rPr>
            </w:pPr>
            <w:r>
              <w:rPr>
                <w:rFonts w:cs="Times New Roman"/>
                <w:sz w:val="18"/>
                <w:szCs w:val="18"/>
              </w:rPr>
              <w:t>权力分类</w:t>
            </w:r>
          </w:p>
        </w:tc>
        <w:tc>
          <w:tcPr>
            <w:tcW w:w="847" w:type="dxa"/>
            <w:vAlign w:val="center"/>
          </w:tcPr>
          <w:p>
            <w:pPr>
              <w:spacing w:line="280" w:lineRule="exact"/>
              <w:jc w:val="center"/>
              <w:rPr>
                <w:rFonts w:cs="Times New Roman"/>
                <w:sz w:val="18"/>
                <w:szCs w:val="18"/>
              </w:rPr>
            </w:pPr>
            <w:r>
              <w:rPr>
                <w:rFonts w:cs="Times New Roman"/>
                <w:sz w:val="18"/>
                <w:szCs w:val="18"/>
              </w:rPr>
              <w:t>项目名称</w:t>
            </w:r>
          </w:p>
        </w:tc>
        <w:tc>
          <w:tcPr>
            <w:tcW w:w="751" w:type="dxa"/>
            <w:vAlign w:val="center"/>
          </w:tcPr>
          <w:p>
            <w:pPr>
              <w:spacing w:line="280" w:lineRule="exact"/>
              <w:jc w:val="center"/>
              <w:rPr>
                <w:rFonts w:cs="Times New Roman"/>
                <w:sz w:val="18"/>
                <w:szCs w:val="18"/>
              </w:rPr>
            </w:pPr>
            <w:r>
              <w:rPr>
                <w:rFonts w:cs="Times New Roman"/>
                <w:sz w:val="18"/>
                <w:szCs w:val="18"/>
              </w:rPr>
              <w:t>子项</w:t>
            </w:r>
          </w:p>
        </w:tc>
        <w:tc>
          <w:tcPr>
            <w:tcW w:w="3548" w:type="dxa"/>
            <w:vAlign w:val="center"/>
          </w:tcPr>
          <w:p>
            <w:pPr>
              <w:spacing w:line="280" w:lineRule="exact"/>
              <w:jc w:val="center"/>
              <w:rPr>
                <w:rFonts w:cs="Times New Roman"/>
                <w:sz w:val="18"/>
                <w:szCs w:val="18"/>
              </w:rPr>
            </w:pPr>
            <w:r>
              <w:rPr>
                <w:rFonts w:cs="Times New Roman"/>
                <w:sz w:val="18"/>
                <w:szCs w:val="18"/>
              </w:rPr>
              <w:t>实施依据</w:t>
            </w:r>
          </w:p>
        </w:tc>
        <w:tc>
          <w:tcPr>
            <w:tcW w:w="2700" w:type="dxa"/>
            <w:vAlign w:val="center"/>
          </w:tcPr>
          <w:p>
            <w:pPr>
              <w:spacing w:line="280" w:lineRule="exact"/>
              <w:jc w:val="center"/>
              <w:rPr>
                <w:rFonts w:cs="Times New Roman"/>
                <w:sz w:val="18"/>
                <w:szCs w:val="18"/>
              </w:rPr>
            </w:pPr>
            <w:r>
              <w:rPr>
                <w:rFonts w:cs="Times New Roman"/>
                <w:sz w:val="18"/>
                <w:szCs w:val="18"/>
              </w:rPr>
              <w:t>责任事项</w:t>
            </w:r>
          </w:p>
        </w:tc>
        <w:tc>
          <w:tcPr>
            <w:tcW w:w="6114" w:type="dxa"/>
            <w:vAlign w:val="center"/>
          </w:tcPr>
          <w:p>
            <w:pPr>
              <w:spacing w:line="280" w:lineRule="exact"/>
              <w:jc w:val="center"/>
              <w:rPr>
                <w:rFonts w:cs="Times New Roman"/>
                <w:sz w:val="18"/>
                <w:szCs w:val="18"/>
              </w:rPr>
            </w:pPr>
            <w:r>
              <w:rPr>
                <w:rFonts w:cs="Times New Roman"/>
                <w:sz w:val="18"/>
                <w:szCs w:val="18"/>
              </w:rPr>
              <w:t>责任事项依据</w:t>
            </w:r>
          </w:p>
        </w:tc>
        <w:tc>
          <w:tcPr>
            <w:tcW w:w="1562" w:type="dxa"/>
            <w:vAlign w:val="center"/>
          </w:tcPr>
          <w:p>
            <w:pPr>
              <w:spacing w:line="280" w:lineRule="exact"/>
              <w:jc w:val="center"/>
              <w:rPr>
                <w:rFonts w:cs="Times New Roman"/>
                <w:sz w:val="18"/>
                <w:szCs w:val="18"/>
              </w:rPr>
            </w:pPr>
            <w:r>
              <w:rPr>
                <w:rFonts w:cs="Times New Roman"/>
                <w:sz w:val="18"/>
                <w:szCs w:val="18"/>
              </w:rPr>
              <w:t>追责情形</w:t>
            </w:r>
          </w:p>
        </w:tc>
        <w:tc>
          <w:tcPr>
            <w:tcW w:w="4687"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1" w:hRule="atLeast"/>
          <w:jc w:val="center"/>
        </w:trPr>
        <w:tc>
          <w:tcPr>
            <w:tcW w:w="716" w:type="dxa"/>
            <w:vAlign w:val="center"/>
          </w:tcPr>
          <w:p>
            <w:pPr>
              <w:spacing w:line="240" w:lineRule="exact"/>
              <w:rPr>
                <w:rFonts w:cs="Times New Roman"/>
                <w:sz w:val="18"/>
                <w:szCs w:val="18"/>
              </w:rPr>
            </w:pPr>
            <w:r>
              <w:rPr>
                <w:rFonts w:hint="eastAsia" w:cs="Times New Roman"/>
                <w:sz w:val="18"/>
                <w:szCs w:val="18"/>
              </w:rPr>
              <w:t>65</w:t>
            </w:r>
          </w:p>
        </w:tc>
        <w:tc>
          <w:tcPr>
            <w:tcW w:w="723"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强制</w:t>
            </w:r>
          </w:p>
        </w:tc>
        <w:tc>
          <w:tcPr>
            <w:tcW w:w="847" w:type="dxa"/>
            <w:vAlign w:val="center"/>
          </w:tcPr>
          <w:p>
            <w:pPr>
              <w:spacing w:line="240" w:lineRule="exact"/>
              <w:rPr>
                <w:rFonts w:cs="Times New Roman"/>
                <w:sz w:val="18"/>
                <w:szCs w:val="18"/>
              </w:rPr>
            </w:pPr>
            <w:r>
              <w:rPr>
                <w:rFonts w:cs="Times New Roman"/>
                <w:sz w:val="18"/>
                <w:szCs w:val="18"/>
              </w:rPr>
              <w:t>代为除治森林病虫害</w:t>
            </w:r>
            <w:r>
              <w:rPr>
                <w:rFonts w:hint="eastAsia" w:cs="Times New Roman"/>
                <w:sz w:val="18"/>
                <w:szCs w:val="18"/>
              </w:rPr>
              <w:t>的行政强制</w:t>
            </w:r>
          </w:p>
        </w:tc>
        <w:tc>
          <w:tcPr>
            <w:tcW w:w="751" w:type="dxa"/>
            <w:vAlign w:val="center"/>
          </w:tcPr>
          <w:p>
            <w:pPr>
              <w:spacing w:line="240" w:lineRule="exact"/>
              <w:rPr>
                <w:rFonts w:cs="Times New Roman"/>
                <w:sz w:val="18"/>
                <w:szCs w:val="18"/>
              </w:rPr>
            </w:pPr>
            <w:r>
              <w:rPr>
                <w:rFonts w:cs="Times New Roman"/>
                <w:sz w:val="18"/>
                <w:szCs w:val="18"/>
              </w:rPr>
              <w:t>　</w:t>
            </w:r>
          </w:p>
        </w:tc>
        <w:tc>
          <w:tcPr>
            <w:tcW w:w="3548" w:type="dxa"/>
            <w:vAlign w:val="center"/>
          </w:tcPr>
          <w:p>
            <w:pPr>
              <w:spacing w:line="240" w:lineRule="exact"/>
              <w:rPr>
                <w:rFonts w:cs="Times New Roman"/>
                <w:sz w:val="18"/>
                <w:szCs w:val="18"/>
              </w:rPr>
            </w:pPr>
            <w:r>
              <w:rPr>
                <w:rFonts w:cs="Times New Roman"/>
                <w:sz w:val="18"/>
                <w:szCs w:val="18"/>
              </w:rPr>
              <w:t>【法规】《森林病虫害防治条例》(</w:t>
            </w:r>
            <w:r>
              <w:rPr>
                <w:rFonts w:hint="eastAsia" w:cs="Times New Roman"/>
                <w:sz w:val="18"/>
                <w:szCs w:val="18"/>
              </w:rPr>
              <w:t>1989年11月17日</w:t>
            </w:r>
            <w:r>
              <w:rPr>
                <w:rFonts w:cs="Times New Roman"/>
                <w:sz w:val="18"/>
                <w:szCs w:val="18"/>
              </w:rPr>
              <w:t>国务院令</w:t>
            </w:r>
            <w:r>
              <w:rPr>
                <w:rFonts w:hint="eastAsia" w:cs="Times New Roman"/>
                <w:sz w:val="18"/>
                <w:szCs w:val="18"/>
              </w:rPr>
              <w:t>第</w:t>
            </w:r>
            <w:r>
              <w:rPr>
                <w:rFonts w:cs="Times New Roman"/>
                <w:sz w:val="18"/>
                <w:szCs w:val="18"/>
              </w:rPr>
              <w:t>46号</w:t>
            </w:r>
            <w:r>
              <w:rPr>
                <w:rFonts w:hint="eastAsia" w:cs="Times New Roman"/>
                <w:sz w:val="18"/>
                <w:szCs w:val="18"/>
              </w:rPr>
              <w:t>公布</w:t>
            </w:r>
            <w:r>
              <w:rPr>
                <w:rFonts w:cs="Times New Roman"/>
                <w:sz w:val="18"/>
                <w:szCs w:val="18"/>
              </w:rPr>
              <w:t>)第二十五条被责令限期除治森林病虫害者不除治的，林业主管部门或者其授权的单位可以代为除治，由被责令限期除治者承担全部防治费用。代为除治森林病虫害的工作，不因被责令限期除治者申请复议或者起诉而停止执行。</w:t>
            </w:r>
          </w:p>
        </w:tc>
        <w:tc>
          <w:tcPr>
            <w:tcW w:w="2700" w:type="dxa"/>
            <w:vAlign w:val="center"/>
          </w:tcPr>
          <w:p>
            <w:pPr>
              <w:spacing w:line="240" w:lineRule="exact"/>
              <w:rPr>
                <w:rFonts w:cs="Times New Roman"/>
                <w:sz w:val="18"/>
                <w:szCs w:val="18"/>
              </w:rPr>
            </w:pPr>
            <w:r>
              <w:rPr>
                <w:rFonts w:cs="Times New Roman"/>
                <w:b/>
                <w:bCs/>
                <w:sz w:val="18"/>
                <w:szCs w:val="18"/>
              </w:rPr>
              <w:t xml:space="preserve"> 1.审查催告责任</w:t>
            </w:r>
            <w:r>
              <w:rPr>
                <w:rFonts w:cs="Times New Roman"/>
                <w:sz w:val="18"/>
                <w:szCs w:val="18"/>
              </w:rPr>
              <w:t>：审查当事人是否逾期不履行缴费义务，告知加处罚款或滞纳金的标准，加处罚款或滞纳金超过30日，催告当事人履行义务，依法制作催告书。</w:t>
            </w:r>
            <w:r>
              <w:rPr>
                <w:rFonts w:cs="Times New Roman"/>
                <w:sz w:val="18"/>
                <w:szCs w:val="18"/>
              </w:rPr>
              <w:br w:type="textWrapping"/>
            </w:r>
            <w:r>
              <w:rPr>
                <w:rFonts w:cs="Times New Roman"/>
                <w:b/>
                <w:bCs/>
                <w:sz w:val="18"/>
                <w:szCs w:val="18"/>
              </w:rPr>
              <w:t>2.决定责任</w:t>
            </w:r>
            <w:r>
              <w:rPr>
                <w:rFonts w:cs="Times New Roman"/>
                <w:sz w:val="18"/>
                <w:szCs w:val="18"/>
              </w:rPr>
              <w:t>：充分听取当事人提出的事实、理由和证据，进行记录和复核，无正当理由的，向本行政机关负责人报告，经批准作出强制执行决定，送达行政强制执行决定书.</w:t>
            </w:r>
            <w:r>
              <w:rPr>
                <w:rFonts w:cs="Times New Roman"/>
                <w:sz w:val="18"/>
                <w:szCs w:val="18"/>
              </w:rPr>
              <w:br w:type="textWrapping"/>
            </w:r>
            <w:r>
              <w:rPr>
                <w:rFonts w:cs="Times New Roman"/>
                <w:b/>
                <w:bCs/>
                <w:sz w:val="18"/>
                <w:szCs w:val="18"/>
              </w:rPr>
              <w:t>3.执行责任</w:t>
            </w:r>
            <w:r>
              <w:rPr>
                <w:rFonts w:cs="Times New Roman"/>
                <w:sz w:val="18"/>
                <w:szCs w:val="18"/>
              </w:rPr>
              <w:t>：送达行政强制执行决定书，收取加处罚或滞纳金，在规定期限内拒不执行的，可采取申请法院强制执行等措施</w:t>
            </w:r>
            <w:r>
              <w:rPr>
                <w:rFonts w:cs="Times New Roman"/>
                <w:sz w:val="18"/>
                <w:szCs w:val="18"/>
              </w:rPr>
              <w:br w:type="textWrapping"/>
            </w:r>
            <w:r>
              <w:rPr>
                <w:rFonts w:cs="Times New Roman"/>
                <w:b/>
                <w:bCs/>
                <w:sz w:val="18"/>
                <w:szCs w:val="18"/>
              </w:rPr>
              <w:t>4.监管责</w:t>
            </w:r>
            <w:r>
              <w:rPr>
                <w:rFonts w:cs="Times New Roman"/>
                <w:sz w:val="18"/>
                <w:szCs w:val="18"/>
              </w:rPr>
              <w:t>任：加强执法巡查和法规宣传</w:t>
            </w:r>
            <w:r>
              <w:rPr>
                <w:rFonts w:cs="Times New Roman"/>
                <w:sz w:val="18"/>
                <w:szCs w:val="18"/>
              </w:rPr>
              <w:br w:type="textWrapping"/>
            </w:r>
            <w:r>
              <w:rPr>
                <w:rFonts w:cs="Times New Roman"/>
                <w:b/>
                <w:bCs/>
                <w:sz w:val="18"/>
                <w:szCs w:val="18"/>
              </w:rPr>
              <w:t>5.其他法律法规规章文件规定应履行的责任.</w:t>
            </w:r>
          </w:p>
        </w:tc>
        <w:tc>
          <w:tcPr>
            <w:tcW w:w="6114"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r>
              <w:rPr>
                <w:rFonts w:hint="eastAsia" w:cs="Times New Roman"/>
                <w:sz w:val="18"/>
                <w:szCs w:val="18"/>
              </w:rPr>
              <w:t>。</w:t>
            </w:r>
            <w:r>
              <w:rPr>
                <w:rFonts w:cs="Times New Roman"/>
                <w:sz w:val="18"/>
                <w:szCs w:val="18"/>
              </w:rPr>
              <w:br w:type="textWrapping"/>
            </w:r>
            <w:r>
              <w:rPr>
                <w:rFonts w:cs="Times New Roman"/>
                <w:sz w:val="18"/>
                <w:szCs w:val="18"/>
              </w:rPr>
              <w:t xml:space="preserve">    2.【法律】《中华人民共和国行政强制法》（2011年6月30日主席令第四十九号）第三十七条经催告，当事人逾期仍不履行行政决定，且无正当理由的，行政机关可以作出强制执行决定. 强制执行决定应当以书面形式作出，并载明下列事项：（一）当事人的姓名或者名称、地址；（二）强制执行的理由和依据；（三）强制执行的方式和时间；（四）申请行政复议或者提起行政诉讼的途径和期限；（五）行政机关的名称、印章和日期</w:t>
            </w:r>
            <w:r>
              <w:rPr>
                <w:rFonts w:hint="eastAsia" w:cs="Times New Roman"/>
                <w:sz w:val="18"/>
                <w:szCs w:val="18"/>
              </w:rPr>
              <w:t>。</w:t>
            </w:r>
            <w:r>
              <w:rPr>
                <w:rFonts w:cs="Times New Roman"/>
                <w:sz w:val="18"/>
                <w:szCs w:val="18"/>
              </w:rPr>
              <w:t>在催告期间，对有证据证明有转移或者隐匿财物迹象的，行政机关可以作出立即强制执行决定</w:t>
            </w:r>
            <w:r>
              <w:rPr>
                <w:rFonts w:hint="eastAsia" w:cs="Times New Roman"/>
                <w:sz w:val="18"/>
                <w:szCs w:val="18"/>
              </w:rPr>
              <w:t>。</w:t>
            </w:r>
            <w:r>
              <w:rPr>
                <w:rFonts w:cs="Times New Roman"/>
                <w:sz w:val="18"/>
                <w:szCs w:val="18"/>
              </w:rPr>
              <w:br w:type="textWrapping"/>
            </w:r>
            <w:r>
              <w:rPr>
                <w:rFonts w:cs="Times New Roman"/>
                <w:sz w:val="18"/>
                <w:szCs w:val="18"/>
              </w:rPr>
              <w:t xml:space="preserve">    3.【法律】《中华人民共和国行政强制法》（2011年6月30日主席令第四十九号）第三十四条行政机关依法作出行政决定后，当事人在行政机关决定的期限内不履行义务的，具有行政强制执行权的行政机关依照本章规定强制执行</w:t>
            </w:r>
            <w:r>
              <w:rPr>
                <w:rFonts w:hint="eastAsia" w:cs="Times New Roman"/>
                <w:sz w:val="18"/>
                <w:szCs w:val="18"/>
              </w:rPr>
              <w:t>。第五十三条 当事人在法定期限内不申请行政复议或者提起行政诉讼，又不履行行政决定的，没有行政强制执行权的行政机关可以自期限届满之日起三个月内，依照本章规定申请人民法院强制执行。</w:t>
            </w:r>
            <w:r>
              <w:rPr>
                <w:rFonts w:cs="Times New Roman"/>
                <w:sz w:val="18"/>
                <w:szCs w:val="18"/>
              </w:rPr>
              <w:br w:type="textWrapping"/>
            </w:r>
            <w:r>
              <w:rPr>
                <w:rFonts w:cs="Times New Roman"/>
                <w:sz w:val="18"/>
                <w:szCs w:val="18"/>
              </w:rPr>
              <w:t xml:space="preserve">    4.同3.</w:t>
            </w:r>
          </w:p>
        </w:tc>
        <w:tc>
          <w:tcPr>
            <w:tcW w:w="1562"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1.无法定依据或者超越法定权限实施行政强制的；</w:t>
            </w:r>
            <w:r>
              <w:rPr>
                <w:rFonts w:cs="Times New Roman"/>
                <w:sz w:val="18"/>
                <w:szCs w:val="18"/>
              </w:rPr>
              <w:br w:type="textWrapping"/>
            </w:r>
            <w:r>
              <w:rPr>
                <w:rFonts w:cs="Times New Roman"/>
                <w:sz w:val="18"/>
                <w:szCs w:val="18"/>
              </w:rPr>
              <w:t>2.违反法定程序实施行政强制的；</w:t>
            </w:r>
            <w:r>
              <w:rPr>
                <w:rFonts w:cs="Times New Roman"/>
                <w:sz w:val="18"/>
                <w:szCs w:val="18"/>
              </w:rPr>
              <w:br w:type="textWrapping"/>
            </w:r>
            <w:r>
              <w:rPr>
                <w:rFonts w:cs="Times New Roman"/>
                <w:sz w:val="18"/>
                <w:szCs w:val="18"/>
              </w:rPr>
              <w:t>3.不具备行政执法资格实施行政强制的；</w:t>
            </w:r>
            <w:r>
              <w:rPr>
                <w:rFonts w:cs="Times New Roman"/>
                <w:sz w:val="18"/>
                <w:szCs w:val="18"/>
              </w:rPr>
              <w:br w:type="textWrapping"/>
            </w:r>
            <w:r>
              <w:rPr>
                <w:rFonts w:cs="Times New Roman"/>
                <w:sz w:val="18"/>
                <w:szCs w:val="18"/>
              </w:rPr>
              <w:t>4.违法扩大查封范围、使用或者损毁查封、扣押场所、设施或者财物等滥用职权的；</w:t>
            </w:r>
            <w:r>
              <w:rPr>
                <w:rFonts w:cs="Times New Roman"/>
                <w:sz w:val="18"/>
                <w:szCs w:val="18"/>
              </w:rPr>
              <w:br w:type="textWrapping"/>
            </w:r>
            <w:r>
              <w:rPr>
                <w:rFonts w:cs="Times New Roman"/>
                <w:sz w:val="18"/>
                <w:szCs w:val="18"/>
              </w:rPr>
              <w:t>5.利用行政强制权为单位或者个人谋取利益的；</w:t>
            </w:r>
            <w:r>
              <w:rPr>
                <w:rFonts w:cs="Times New Roman"/>
                <w:sz w:val="18"/>
                <w:szCs w:val="18"/>
              </w:rPr>
              <w:br w:type="textWrapping"/>
            </w:r>
            <w:r>
              <w:rPr>
                <w:rFonts w:cs="Times New Roman"/>
                <w:sz w:val="18"/>
                <w:szCs w:val="18"/>
              </w:rPr>
              <w:t>6.其他违反法律法规规章文件规定的行为.</w:t>
            </w:r>
          </w:p>
        </w:tc>
        <w:tc>
          <w:tcPr>
            <w:tcW w:w="4687"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cs="Times New Roman"/>
                <w:sz w:val="18"/>
                <w:szCs w:val="18"/>
              </w:rPr>
              <w:br w:type="textWrapping"/>
            </w:r>
            <w:r>
              <w:rPr>
                <w:rFonts w:cs="Times New Roman"/>
                <w:sz w:val="18"/>
                <w:szCs w:val="18"/>
              </w:rPr>
              <w:t xml:space="preserve">    2.同1. </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4.【法律】《中华人民共和国行政强制法》（2011年6月30日主席令第四十九号）第六十二条　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r>
              <w:rPr>
                <w:rFonts w:cs="Times New Roman"/>
                <w:sz w:val="18"/>
                <w:szCs w:val="18"/>
              </w:rPr>
              <w:br w:type="textWrapping"/>
            </w:r>
            <w:r>
              <w:rPr>
                <w:rFonts w:cs="Times New Roman"/>
                <w:sz w:val="18"/>
                <w:szCs w:val="18"/>
              </w:rPr>
              <w:t xml:space="preserve">    5.【法律】《中华人民共和国行政强制法》（2011年6月30日主席令第四十九号）第六十四条　行政机关及其工作人员利用行政强制权为单位或者个人谋取利益的，由上级行政机关或者有关部门责令改正，对直接负责的主管人员和其他直接责任人员依法给予处分。</w:t>
            </w:r>
            <w:r>
              <w:rPr>
                <w:rFonts w:cs="Times New Roman"/>
                <w:sz w:val="18"/>
                <w:szCs w:val="18"/>
              </w:rPr>
              <w:br w:type="textWrapping"/>
            </w:r>
          </w:p>
        </w:tc>
        <w:tc>
          <w:tcPr>
            <w:tcW w:w="612"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721"/>
        <w:gridCol w:w="827"/>
        <w:gridCol w:w="730"/>
        <w:gridCol w:w="3561"/>
        <w:gridCol w:w="2694"/>
        <w:gridCol w:w="6103"/>
        <w:gridCol w:w="1559"/>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734" w:type="dxa"/>
            <w:vAlign w:val="center"/>
          </w:tcPr>
          <w:p>
            <w:pPr>
              <w:spacing w:line="280" w:lineRule="exact"/>
              <w:jc w:val="center"/>
              <w:rPr>
                <w:rFonts w:cs="Times New Roman"/>
                <w:sz w:val="18"/>
                <w:szCs w:val="18"/>
              </w:rPr>
            </w:pPr>
            <w:r>
              <w:rPr>
                <w:rFonts w:cs="Times New Roman"/>
                <w:sz w:val="18"/>
                <w:szCs w:val="18"/>
              </w:rPr>
              <w:t>序号</w:t>
            </w:r>
          </w:p>
        </w:tc>
        <w:tc>
          <w:tcPr>
            <w:tcW w:w="721" w:type="dxa"/>
            <w:vAlign w:val="center"/>
          </w:tcPr>
          <w:p>
            <w:pPr>
              <w:spacing w:line="280" w:lineRule="exact"/>
              <w:jc w:val="center"/>
              <w:rPr>
                <w:rFonts w:cs="Times New Roman"/>
                <w:sz w:val="18"/>
                <w:szCs w:val="18"/>
              </w:rPr>
            </w:pPr>
            <w:r>
              <w:rPr>
                <w:rFonts w:cs="Times New Roman"/>
                <w:sz w:val="18"/>
                <w:szCs w:val="18"/>
              </w:rPr>
              <w:t>权力分类</w:t>
            </w:r>
          </w:p>
        </w:tc>
        <w:tc>
          <w:tcPr>
            <w:tcW w:w="827" w:type="dxa"/>
            <w:vAlign w:val="center"/>
          </w:tcPr>
          <w:p>
            <w:pPr>
              <w:spacing w:line="280" w:lineRule="exact"/>
              <w:jc w:val="center"/>
              <w:rPr>
                <w:rFonts w:cs="Times New Roman"/>
                <w:sz w:val="18"/>
                <w:szCs w:val="18"/>
              </w:rPr>
            </w:pPr>
            <w:r>
              <w:rPr>
                <w:rFonts w:cs="Times New Roman"/>
                <w:sz w:val="18"/>
                <w:szCs w:val="18"/>
              </w:rPr>
              <w:t>项目名称</w:t>
            </w:r>
          </w:p>
        </w:tc>
        <w:tc>
          <w:tcPr>
            <w:tcW w:w="730" w:type="dxa"/>
            <w:vAlign w:val="center"/>
          </w:tcPr>
          <w:p>
            <w:pPr>
              <w:spacing w:line="280" w:lineRule="exact"/>
              <w:jc w:val="center"/>
              <w:rPr>
                <w:rFonts w:cs="Times New Roman"/>
                <w:sz w:val="18"/>
                <w:szCs w:val="18"/>
              </w:rPr>
            </w:pPr>
            <w:r>
              <w:rPr>
                <w:rFonts w:cs="Times New Roman"/>
                <w:sz w:val="18"/>
                <w:szCs w:val="18"/>
              </w:rPr>
              <w:t>子项</w:t>
            </w:r>
          </w:p>
        </w:tc>
        <w:tc>
          <w:tcPr>
            <w:tcW w:w="3561" w:type="dxa"/>
            <w:vAlign w:val="center"/>
          </w:tcPr>
          <w:p>
            <w:pPr>
              <w:spacing w:line="280" w:lineRule="exact"/>
              <w:jc w:val="center"/>
              <w:rPr>
                <w:rFonts w:cs="Times New Roman"/>
                <w:sz w:val="18"/>
                <w:szCs w:val="18"/>
              </w:rPr>
            </w:pPr>
            <w:r>
              <w:rPr>
                <w:rFonts w:cs="Times New Roman"/>
                <w:sz w:val="18"/>
                <w:szCs w:val="18"/>
              </w:rPr>
              <w:t>实施依据</w:t>
            </w:r>
          </w:p>
        </w:tc>
        <w:tc>
          <w:tcPr>
            <w:tcW w:w="2694" w:type="dxa"/>
            <w:vAlign w:val="center"/>
          </w:tcPr>
          <w:p>
            <w:pPr>
              <w:spacing w:line="280" w:lineRule="exact"/>
              <w:jc w:val="center"/>
              <w:rPr>
                <w:rFonts w:cs="Times New Roman"/>
                <w:sz w:val="18"/>
                <w:szCs w:val="18"/>
              </w:rPr>
            </w:pPr>
            <w:r>
              <w:rPr>
                <w:rFonts w:cs="Times New Roman"/>
                <w:sz w:val="18"/>
                <w:szCs w:val="18"/>
              </w:rPr>
              <w:t>责任事项</w:t>
            </w:r>
          </w:p>
        </w:tc>
        <w:tc>
          <w:tcPr>
            <w:tcW w:w="6103" w:type="dxa"/>
            <w:vAlign w:val="center"/>
          </w:tcPr>
          <w:p>
            <w:pPr>
              <w:spacing w:line="280" w:lineRule="exact"/>
              <w:jc w:val="center"/>
              <w:rPr>
                <w:rFonts w:cs="Times New Roman"/>
                <w:sz w:val="18"/>
                <w:szCs w:val="18"/>
              </w:rPr>
            </w:pPr>
            <w:r>
              <w:rPr>
                <w:rFonts w:cs="Times New Roman"/>
                <w:sz w:val="18"/>
                <w:szCs w:val="18"/>
              </w:rPr>
              <w:t>责任事项依据</w:t>
            </w:r>
          </w:p>
        </w:tc>
        <w:tc>
          <w:tcPr>
            <w:tcW w:w="1559"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734" w:type="dxa"/>
            <w:vAlign w:val="center"/>
          </w:tcPr>
          <w:p>
            <w:pPr>
              <w:spacing w:line="240" w:lineRule="exact"/>
              <w:rPr>
                <w:rFonts w:cs="Times New Roman"/>
                <w:sz w:val="18"/>
                <w:szCs w:val="18"/>
              </w:rPr>
            </w:pPr>
            <w:r>
              <w:rPr>
                <w:rFonts w:hint="eastAsia" w:cs="Times New Roman"/>
                <w:sz w:val="18"/>
                <w:szCs w:val="18"/>
              </w:rPr>
              <w:t>66</w:t>
            </w:r>
          </w:p>
        </w:tc>
        <w:tc>
          <w:tcPr>
            <w:tcW w:w="72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强制</w:t>
            </w:r>
          </w:p>
        </w:tc>
        <w:tc>
          <w:tcPr>
            <w:tcW w:w="827" w:type="dxa"/>
            <w:vAlign w:val="center"/>
          </w:tcPr>
          <w:p>
            <w:pPr>
              <w:spacing w:line="240" w:lineRule="exact"/>
              <w:rPr>
                <w:rFonts w:cs="Times New Roman"/>
                <w:sz w:val="18"/>
                <w:szCs w:val="18"/>
              </w:rPr>
            </w:pPr>
            <w:r>
              <w:rPr>
                <w:rFonts w:hint="eastAsia" w:cs="Times New Roman"/>
                <w:sz w:val="18"/>
                <w:szCs w:val="18"/>
              </w:rPr>
              <w:t>代为恢复擅自移动或者毁坏的林业服务标志的行政强制</w:t>
            </w:r>
          </w:p>
        </w:tc>
        <w:tc>
          <w:tcPr>
            <w:tcW w:w="730" w:type="dxa"/>
            <w:vAlign w:val="center"/>
          </w:tcPr>
          <w:p>
            <w:pPr>
              <w:spacing w:line="240" w:lineRule="exact"/>
              <w:rPr>
                <w:rFonts w:cs="Times New Roman"/>
                <w:sz w:val="18"/>
                <w:szCs w:val="18"/>
              </w:rPr>
            </w:pPr>
            <w:r>
              <w:rPr>
                <w:rFonts w:cs="Times New Roman"/>
                <w:sz w:val="18"/>
                <w:szCs w:val="18"/>
              </w:rPr>
              <w:t>　</w:t>
            </w:r>
          </w:p>
        </w:tc>
        <w:tc>
          <w:tcPr>
            <w:tcW w:w="3561" w:type="dxa"/>
            <w:vAlign w:val="center"/>
          </w:tcPr>
          <w:p>
            <w:pPr>
              <w:spacing w:line="240" w:lineRule="exact"/>
              <w:rPr>
                <w:rFonts w:cs="Times New Roman"/>
                <w:sz w:val="18"/>
                <w:szCs w:val="18"/>
              </w:rPr>
            </w:pPr>
            <w:r>
              <w:rPr>
                <w:rFonts w:cs="Times New Roman"/>
                <w:sz w:val="18"/>
                <w:szCs w:val="18"/>
              </w:rPr>
              <w:t>【法</w:t>
            </w:r>
            <w:r>
              <w:rPr>
                <w:rFonts w:hint="eastAsia" w:cs="Times New Roman"/>
                <w:sz w:val="18"/>
                <w:szCs w:val="18"/>
              </w:rPr>
              <w:t>规</w:t>
            </w:r>
            <w:r>
              <w:rPr>
                <w:rFonts w:cs="Times New Roman"/>
                <w:sz w:val="18"/>
                <w:szCs w:val="18"/>
              </w:rPr>
              <w:t>】《中华人民共和国森林法实施条例》(2000年1月29日国务院令第278号发布， 2016年2月6日国务院令第666号第二次修订）</w:t>
            </w:r>
            <w:r>
              <w:rPr>
                <w:rFonts w:hint="eastAsia" w:cs="Times New Roman"/>
                <w:sz w:val="18"/>
                <w:szCs w:val="18"/>
              </w:rPr>
              <w:t>第四十五条 擅自移动或者毁坏林业服务标志的，由县级以上人民政府林业主管部门责令限期恢复原状；逾期不恢复原状的，由县级以上人民政府林业主管部门代为恢复，所需费用由违法者支付。</w:t>
            </w:r>
            <w:r>
              <w:rPr>
                <w:rFonts w:hint="eastAsia"/>
                <w:color w:val="6A6A6A"/>
                <w:sz w:val="18"/>
                <w:szCs w:val="18"/>
              </w:rPr>
              <w:br w:type="textWrapping"/>
            </w:r>
          </w:p>
        </w:tc>
        <w:tc>
          <w:tcPr>
            <w:tcW w:w="2694" w:type="dxa"/>
            <w:vAlign w:val="center"/>
          </w:tcPr>
          <w:p>
            <w:pPr>
              <w:spacing w:line="240" w:lineRule="exact"/>
              <w:rPr>
                <w:rFonts w:cs="Times New Roman"/>
                <w:sz w:val="18"/>
                <w:szCs w:val="18"/>
              </w:rPr>
            </w:pPr>
            <w:r>
              <w:rPr>
                <w:rFonts w:cs="Times New Roman"/>
                <w:b/>
                <w:bCs/>
                <w:sz w:val="18"/>
                <w:szCs w:val="18"/>
              </w:rPr>
              <w:t xml:space="preserve"> 1.审查催告责任</w:t>
            </w:r>
            <w:r>
              <w:rPr>
                <w:rFonts w:cs="Times New Roman"/>
                <w:sz w:val="18"/>
                <w:szCs w:val="18"/>
              </w:rPr>
              <w:t>：审查当事人是否逾期不履行缴费义务，告知加处罚款或滞纳金的标准，加处罚款或滞纳金超过30日，催告当事人履行义务，依法制作催告书。</w:t>
            </w:r>
            <w:r>
              <w:rPr>
                <w:rFonts w:cs="Times New Roman"/>
                <w:sz w:val="18"/>
                <w:szCs w:val="18"/>
              </w:rPr>
              <w:br w:type="textWrapping"/>
            </w:r>
            <w:r>
              <w:rPr>
                <w:rFonts w:cs="Times New Roman"/>
                <w:b/>
                <w:bCs/>
                <w:sz w:val="18"/>
                <w:szCs w:val="18"/>
              </w:rPr>
              <w:t>2.决定责任</w:t>
            </w:r>
            <w:r>
              <w:rPr>
                <w:rFonts w:cs="Times New Roman"/>
                <w:sz w:val="18"/>
                <w:szCs w:val="18"/>
              </w:rPr>
              <w:t>：充分听取当事人提出的事实、理由和证据，进行记录和复核，无正当理由的，向本行政机关负责人报告，经批准作出强制执行决定，送达行政强制执行决定书.</w:t>
            </w:r>
            <w:r>
              <w:rPr>
                <w:rFonts w:cs="Times New Roman"/>
                <w:sz w:val="18"/>
                <w:szCs w:val="18"/>
              </w:rPr>
              <w:br w:type="textWrapping"/>
            </w:r>
            <w:r>
              <w:rPr>
                <w:rFonts w:cs="Times New Roman"/>
                <w:b/>
                <w:bCs/>
                <w:sz w:val="18"/>
                <w:szCs w:val="18"/>
              </w:rPr>
              <w:t>3.执行责任</w:t>
            </w:r>
            <w:r>
              <w:rPr>
                <w:rFonts w:cs="Times New Roman"/>
                <w:sz w:val="18"/>
                <w:szCs w:val="18"/>
              </w:rPr>
              <w:t>：送达行政强制执行决定书，收取加处罚或滞纳金，在规定期限内拒不执行的，可采取申请法院强制执行等措施</w:t>
            </w:r>
            <w:r>
              <w:rPr>
                <w:rFonts w:cs="Times New Roman"/>
                <w:sz w:val="18"/>
                <w:szCs w:val="18"/>
              </w:rPr>
              <w:br w:type="textWrapping"/>
            </w:r>
            <w:r>
              <w:rPr>
                <w:rFonts w:cs="Times New Roman"/>
                <w:b/>
                <w:bCs/>
                <w:sz w:val="18"/>
                <w:szCs w:val="18"/>
              </w:rPr>
              <w:t>4.监管责</w:t>
            </w:r>
            <w:r>
              <w:rPr>
                <w:rFonts w:cs="Times New Roman"/>
                <w:sz w:val="18"/>
                <w:szCs w:val="18"/>
              </w:rPr>
              <w:t>任：加强执法巡查和法规宣传</w:t>
            </w:r>
            <w:r>
              <w:rPr>
                <w:rFonts w:cs="Times New Roman"/>
                <w:sz w:val="18"/>
                <w:szCs w:val="18"/>
              </w:rPr>
              <w:br w:type="textWrapping"/>
            </w:r>
            <w:r>
              <w:rPr>
                <w:rFonts w:cs="Times New Roman"/>
                <w:b/>
                <w:bCs/>
                <w:sz w:val="18"/>
                <w:szCs w:val="18"/>
              </w:rPr>
              <w:t>5.其他法律法规规章文件规定应履行的责任.</w:t>
            </w:r>
          </w:p>
        </w:tc>
        <w:tc>
          <w:tcPr>
            <w:tcW w:w="6103"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r>
              <w:rPr>
                <w:rFonts w:hint="eastAsia" w:cs="Times New Roman"/>
                <w:sz w:val="18"/>
                <w:szCs w:val="18"/>
              </w:rPr>
              <w:t>。</w:t>
            </w:r>
            <w:r>
              <w:rPr>
                <w:rFonts w:cs="Times New Roman"/>
                <w:sz w:val="18"/>
                <w:szCs w:val="18"/>
              </w:rPr>
              <w:br w:type="textWrapping"/>
            </w:r>
            <w:r>
              <w:rPr>
                <w:rFonts w:cs="Times New Roman"/>
                <w:sz w:val="18"/>
                <w:szCs w:val="18"/>
              </w:rPr>
              <w:t xml:space="preserve">    2.【法律】《中华人民共和国行政强制法》（2011年6月30日主席令第四十九号）第三十七条经催告，当事人逾期仍不履行行政决定，且无正当理由的，行政机关可以作出强制执行决定. 强制执行决定应当以书面形式作出，并载明下列事项：（一）当事人的姓名或者名称、地址；（二）强制执行的理由和依据；（三）强制执行的方式和时间；（四）申请行政复议或者提起行政诉讼的途径和期限；（五）行政机关的名称、印章和日期</w:t>
            </w:r>
            <w:r>
              <w:rPr>
                <w:rFonts w:hint="eastAsia" w:cs="Times New Roman"/>
                <w:sz w:val="18"/>
                <w:szCs w:val="18"/>
              </w:rPr>
              <w:t>。</w:t>
            </w:r>
            <w:r>
              <w:rPr>
                <w:rFonts w:cs="Times New Roman"/>
                <w:sz w:val="18"/>
                <w:szCs w:val="18"/>
              </w:rPr>
              <w:t>在催告期间，对有证据证明有转移或者隐匿财物迹象的，行政机关可以作出立即强制执行决定</w:t>
            </w:r>
            <w:r>
              <w:rPr>
                <w:rFonts w:hint="eastAsia" w:cs="Times New Roman"/>
                <w:sz w:val="18"/>
                <w:szCs w:val="18"/>
              </w:rPr>
              <w:t>。</w:t>
            </w:r>
            <w:r>
              <w:rPr>
                <w:rFonts w:cs="Times New Roman"/>
                <w:sz w:val="18"/>
                <w:szCs w:val="18"/>
              </w:rPr>
              <w:br w:type="textWrapping"/>
            </w:r>
            <w:r>
              <w:rPr>
                <w:rFonts w:cs="Times New Roman"/>
                <w:sz w:val="18"/>
                <w:szCs w:val="18"/>
              </w:rPr>
              <w:t xml:space="preserve">    3.【法律】《中华人民共和国行政强制法》（2011年6月30日主席令第四十九号）第三十四条行政机关依法作出行政决定后，当事人在行政机关决定的期限内不履行义务的，具有行政强制执行权的行政机关依照本章规定强制执行</w:t>
            </w:r>
            <w:r>
              <w:rPr>
                <w:rFonts w:hint="eastAsia" w:cs="Times New Roman"/>
                <w:sz w:val="18"/>
                <w:szCs w:val="18"/>
              </w:rPr>
              <w:t>。第五十三条 当事人在法定期限内不申请行政复议或者提起行政诉讼，又不履行行政决定的，没有行政强制执行权的行政机关可以自期限届满之日起三个月内，依照本章规定申请人民法院强制执行。</w:t>
            </w:r>
            <w:r>
              <w:rPr>
                <w:rFonts w:cs="Times New Roman"/>
                <w:sz w:val="18"/>
                <w:szCs w:val="18"/>
              </w:rPr>
              <w:br w:type="textWrapping"/>
            </w:r>
            <w:r>
              <w:rPr>
                <w:rFonts w:cs="Times New Roman"/>
                <w:sz w:val="18"/>
                <w:szCs w:val="18"/>
              </w:rPr>
              <w:t xml:space="preserve">    4.同3.</w:t>
            </w:r>
          </w:p>
        </w:tc>
        <w:tc>
          <w:tcPr>
            <w:tcW w:w="1559"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1.无法定依据或者超越法定权限实施行政强制的；</w:t>
            </w:r>
            <w:r>
              <w:rPr>
                <w:rFonts w:cs="Times New Roman"/>
                <w:sz w:val="18"/>
                <w:szCs w:val="18"/>
              </w:rPr>
              <w:br w:type="textWrapping"/>
            </w:r>
            <w:r>
              <w:rPr>
                <w:rFonts w:cs="Times New Roman"/>
                <w:sz w:val="18"/>
                <w:szCs w:val="18"/>
              </w:rPr>
              <w:t>2.违反法定程序实施行政强制的；</w:t>
            </w:r>
            <w:r>
              <w:rPr>
                <w:rFonts w:cs="Times New Roman"/>
                <w:sz w:val="18"/>
                <w:szCs w:val="18"/>
              </w:rPr>
              <w:br w:type="textWrapping"/>
            </w:r>
            <w:r>
              <w:rPr>
                <w:rFonts w:cs="Times New Roman"/>
                <w:sz w:val="18"/>
                <w:szCs w:val="18"/>
              </w:rPr>
              <w:t>3.不具备行政执法资格实施行政强制的；</w:t>
            </w:r>
            <w:r>
              <w:rPr>
                <w:rFonts w:cs="Times New Roman"/>
                <w:sz w:val="18"/>
                <w:szCs w:val="18"/>
              </w:rPr>
              <w:br w:type="textWrapping"/>
            </w:r>
            <w:r>
              <w:rPr>
                <w:rFonts w:cs="Times New Roman"/>
                <w:sz w:val="18"/>
                <w:szCs w:val="18"/>
              </w:rPr>
              <w:t>4.违法扩大查封范围、使用或者损毁查封、扣押场所、设施或者财物等滥用职权的；</w:t>
            </w:r>
            <w:r>
              <w:rPr>
                <w:rFonts w:cs="Times New Roman"/>
                <w:sz w:val="18"/>
                <w:szCs w:val="18"/>
              </w:rPr>
              <w:br w:type="textWrapping"/>
            </w:r>
            <w:r>
              <w:rPr>
                <w:rFonts w:cs="Times New Roman"/>
                <w:sz w:val="18"/>
                <w:szCs w:val="18"/>
              </w:rPr>
              <w:t>5.利用行政强制权为单位或者个人谋取利益的；</w:t>
            </w:r>
            <w:r>
              <w:rPr>
                <w:rFonts w:cs="Times New Roman"/>
                <w:sz w:val="18"/>
                <w:szCs w:val="18"/>
              </w:rPr>
              <w:br w:type="textWrapping"/>
            </w:r>
            <w:r>
              <w:rPr>
                <w:rFonts w:cs="Times New Roman"/>
                <w:sz w:val="18"/>
                <w:szCs w:val="18"/>
              </w:rPr>
              <w:t>6.其他违反法律法规规章文件规定的行为.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cs="Times New Roman"/>
                <w:sz w:val="18"/>
                <w:szCs w:val="18"/>
              </w:rPr>
              <w:br w:type="textWrapping"/>
            </w:r>
            <w:r>
              <w:rPr>
                <w:rFonts w:cs="Times New Roman"/>
                <w:sz w:val="18"/>
                <w:szCs w:val="18"/>
              </w:rPr>
              <w:t xml:space="preserve">    2.同1. </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4.【法律】《中华人民共和国行政强制法》（2011年6月30日主席令第四十九号）第六十二条　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r>
              <w:rPr>
                <w:rFonts w:cs="Times New Roman"/>
                <w:sz w:val="18"/>
                <w:szCs w:val="18"/>
              </w:rPr>
              <w:br w:type="textWrapping"/>
            </w:r>
            <w:r>
              <w:rPr>
                <w:rFonts w:cs="Times New Roman"/>
                <w:sz w:val="18"/>
                <w:szCs w:val="18"/>
              </w:rPr>
              <w:t xml:space="preserve">    5.【法律】《中华人民共和国行政强制法》（2011年6月30日主席令第四十九号）第六十四条　行政机关及其工作人员利用行政强制权为单位或者个人谋取利益的，由上级行政机关或者有关部门责令改正，对直接负责的主管人员和其他直接责任人员依法给予处分。</w:t>
            </w:r>
            <w:r>
              <w:rPr>
                <w:rFonts w:cs="Times New Roman"/>
                <w:sz w:val="18"/>
                <w:szCs w:val="18"/>
              </w:rPr>
              <w:br w:type="textWrapping"/>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740"/>
        <w:gridCol w:w="770"/>
        <w:gridCol w:w="787"/>
        <w:gridCol w:w="3788"/>
        <w:gridCol w:w="2410"/>
        <w:gridCol w:w="6103"/>
        <w:gridCol w:w="1559"/>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772"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770" w:type="dxa"/>
            <w:vAlign w:val="center"/>
          </w:tcPr>
          <w:p>
            <w:pPr>
              <w:spacing w:line="280" w:lineRule="exact"/>
              <w:jc w:val="center"/>
              <w:rPr>
                <w:rFonts w:cs="Times New Roman"/>
                <w:sz w:val="18"/>
                <w:szCs w:val="18"/>
              </w:rPr>
            </w:pPr>
            <w:r>
              <w:rPr>
                <w:rFonts w:cs="Times New Roman"/>
                <w:sz w:val="18"/>
                <w:szCs w:val="18"/>
              </w:rPr>
              <w:t>项目名称</w:t>
            </w:r>
          </w:p>
        </w:tc>
        <w:tc>
          <w:tcPr>
            <w:tcW w:w="787" w:type="dxa"/>
            <w:vAlign w:val="center"/>
          </w:tcPr>
          <w:p>
            <w:pPr>
              <w:spacing w:line="280" w:lineRule="exact"/>
              <w:jc w:val="center"/>
              <w:rPr>
                <w:rFonts w:cs="Times New Roman"/>
                <w:sz w:val="18"/>
                <w:szCs w:val="18"/>
              </w:rPr>
            </w:pPr>
            <w:r>
              <w:rPr>
                <w:rFonts w:cs="Times New Roman"/>
                <w:sz w:val="18"/>
                <w:szCs w:val="18"/>
              </w:rPr>
              <w:t>子项</w:t>
            </w:r>
          </w:p>
        </w:tc>
        <w:tc>
          <w:tcPr>
            <w:tcW w:w="3788" w:type="dxa"/>
            <w:vAlign w:val="center"/>
          </w:tcPr>
          <w:p>
            <w:pPr>
              <w:spacing w:line="280" w:lineRule="exact"/>
              <w:jc w:val="center"/>
              <w:rPr>
                <w:rFonts w:cs="Times New Roman"/>
                <w:sz w:val="18"/>
                <w:szCs w:val="18"/>
              </w:rPr>
            </w:pPr>
            <w:r>
              <w:rPr>
                <w:rFonts w:cs="Times New Roman"/>
                <w:sz w:val="18"/>
                <w:szCs w:val="18"/>
              </w:rPr>
              <w:t>实施依据</w:t>
            </w:r>
          </w:p>
        </w:tc>
        <w:tc>
          <w:tcPr>
            <w:tcW w:w="2410" w:type="dxa"/>
            <w:vAlign w:val="center"/>
          </w:tcPr>
          <w:p>
            <w:pPr>
              <w:spacing w:line="280" w:lineRule="exact"/>
              <w:jc w:val="center"/>
              <w:rPr>
                <w:rFonts w:cs="Times New Roman"/>
                <w:sz w:val="18"/>
                <w:szCs w:val="18"/>
              </w:rPr>
            </w:pPr>
            <w:r>
              <w:rPr>
                <w:rFonts w:cs="Times New Roman"/>
                <w:sz w:val="18"/>
                <w:szCs w:val="18"/>
              </w:rPr>
              <w:t>责任事项</w:t>
            </w:r>
          </w:p>
        </w:tc>
        <w:tc>
          <w:tcPr>
            <w:tcW w:w="6103" w:type="dxa"/>
            <w:vAlign w:val="center"/>
          </w:tcPr>
          <w:p>
            <w:pPr>
              <w:spacing w:line="280" w:lineRule="exact"/>
              <w:jc w:val="center"/>
              <w:rPr>
                <w:rFonts w:cs="Times New Roman"/>
                <w:sz w:val="18"/>
                <w:szCs w:val="18"/>
              </w:rPr>
            </w:pPr>
            <w:r>
              <w:rPr>
                <w:rFonts w:cs="Times New Roman"/>
                <w:sz w:val="18"/>
                <w:szCs w:val="18"/>
              </w:rPr>
              <w:t>责任事项依据</w:t>
            </w:r>
          </w:p>
        </w:tc>
        <w:tc>
          <w:tcPr>
            <w:tcW w:w="1559"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772" w:type="dxa"/>
            <w:vAlign w:val="center"/>
          </w:tcPr>
          <w:p>
            <w:pPr>
              <w:spacing w:line="240" w:lineRule="exact"/>
              <w:rPr>
                <w:rFonts w:cs="Times New Roman"/>
                <w:sz w:val="18"/>
                <w:szCs w:val="18"/>
              </w:rPr>
            </w:pPr>
            <w:r>
              <w:rPr>
                <w:rFonts w:hint="eastAsia" w:cs="Times New Roman"/>
                <w:sz w:val="18"/>
                <w:szCs w:val="18"/>
              </w:rPr>
              <w:t>67</w:t>
            </w:r>
          </w:p>
        </w:tc>
        <w:tc>
          <w:tcPr>
            <w:tcW w:w="740"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强制</w:t>
            </w:r>
          </w:p>
        </w:tc>
        <w:tc>
          <w:tcPr>
            <w:tcW w:w="770" w:type="dxa"/>
            <w:vAlign w:val="center"/>
          </w:tcPr>
          <w:p>
            <w:pPr>
              <w:spacing w:line="240" w:lineRule="exact"/>
              <w:rPr>
                <w:rFonts w:cs="Times New Roman"/>
                <w:sz w:val="18"/>
                <w:szCs w:val="18"/>
              </w:rPr>
            </w:pPr>
            <w:r>
              <w:rPr>
                <w:rFonts w:hint="eastAsia" w:cs="Times New Roman"/>
                <w:sz w:val="18"/>
                <w:szCs w:val="18"/>
              </w:rPr>
              <w:t>代为补种树木的行政强制</w:t>
            </w:r>
          </w:p>
        </w:tc>
        <w:tc>
          <w:tcPr>
            <w:tcW w:w="787" w:type="dxa"/>
            <w:vAlign w:val="center"/>
          </w:tcPr>
          <w:p>
            <w:pPr>
              <w:spacing w:line="240" w:lineRule="exact"/>
              <w:rPr>
                <w:rFonts w:cs="Times New Roman"/>
                <w:sz w:val="18"/>
                <w:szCs w:val="18"/>
              </w:rPr>
            </w:pPr>
            <w:r>
              <w:rPr>
                <w:rFonts w:cs="Times New Roman"/>
                <w:sz w:val="18"/>
                <w:szCs w:val="18"/>
              </w:rPr>
              <w:t>　</w:t>
            </w:r>
          </w:p>
        </w:tc>
        <w:tc>
          <w:tcPr>
            <w:tcW w:w="3788" w:type="dxa"/>
            <w:vAlign w:val="center"/>
          </w:tcPr>
          <w:p>
            <w:pPr>
              <w:spacing w:line="240" w:lineRule="exact"/>
              <w:ind w:firstLine="360"/>
              <w:rPr>
                <w:rFonts w:cs="Times New Roman"/>
                <w:sz w:val="18"/>
                <w:szCs w:val="18"/>
              </w:rPr>
            </w:pPr>
            <w:r>
              <w:rPr>
                <w:rFonts w:cs="Times New Roman"/>
                <w:sz w:val="18"/>
                <w:szCs w:val="18"/>
              </w:rPr>
              <w:t>【法</w:t>
            </w:r>
            <w:r>
              <w:rPr>
                <w:rFonts w:hint="eastAsia" w:cs="Times New Roman"/>
                <w:sz w:val="18"/>
                <w:szCs w:val="18"/>
              </w:rPr>
              <w:t>律</w:t>
            </w:r>
            <w:r>
              <w:rPr>
                <w:rFonts w:cs="Times New Roman"/>
                <w:sz w:val="18"/>
                <w:szCs w:val="18"/>
              </w:rPr>
              <w:t>】《中华人民共和国森林法》（1984年9月20日主席令第十七号公布，2009年8月27日</w:t>
            </w:r>
            <w:r>
              <w:rPr>
                <w:rFonts w:hint="eastAsia" w:cs="Times New Roman"/>
                <w:sz w:val="18"/>
                <w:szCs w:val="18"/>
              </w:rPr>
              <w:t>主席令第十八号令第二次</w:t>
            </w:r>
            <w:r>
              <w:rPr>
                <w:rFonts w:cs="Times New Roman"/>
                <w:sz w:val="18"/>
                <w:szCs w:val="18"/>
              </w:rPr>
              <w:t>修改)</w:t>
            </w:r>
            <w:r>
              <w:rPr>
                <w:rFonts w:hint="eastAsia" w:cs="Times New Roman"/>
                <w:sz w:val="18"/>
                <w:szCs w:val="18"/>
              </w:rPr>
              <w:t xml:space="preserve"> 第三十九条　盗伐森林或者其他林木的，依法赔偿损失；由林业主管部门责令补种盗伐株数十倍的树木，没收盗伐的林木或者变卖所得，并处盗伐林木价值三倍以上十倍以下的罚款。滥伐森林或者其他林木，由林业主管部门责令补种滥伐株数五倍的树木，并处滥伐林木价值二倍以上五倍以下的罚款。拒不补种树木或者补种不符合国家有关规定的，由林业主管部门代为补种，所需费用由违法者支付。第四十四条　违反本法规定，进行开垦、采石、采砂、采土、采种、采脂和其他活动，致使森林、林木受到毁坏的，依法赔偿损失；由林业主管部门责令停止违法行为，补种毁坏株数一倍以上三倍以下的树木，可以处毁坏林木价值一倍以上五倍以下的罚款。违反本法规定，在幼林地和特种用途林内砍柴、放牧致使森林、林木受到毁坏的，依法赔偿损失；由林业主管部门责令停止违法行为，补种毁坏株数一倍以上三倍以下的树木。拒不补种树木或者补种不符合国家有关规定的，由林业主管部门代为补种，所需费用由违法者支付。 </w:t>
            </w:r>
          </w:p>
          <w:p>
            <w:pPr>
              <w:spacing w:line="240" w:lineRule="exact"/>
              <w:ind w:firstLine="360" w:firstLineChars="200"/>
              <w:rPr>
                <w:rFonts w:cs="Times New Roman"/>
                <w:sz w:val="18"/>
                <w:szCs w:val="18"/>
              </w:rPr>
            </w:pPr>
            <w:r>
              <w:rPr>
                <w:rFonts w:cs="Times New Roman"/>
                <w:sz w:val="18"/>
                <w:szCs w:val="18"/>
              </w:rPr>
              <w:t>【法</w:t>
            </w:r>
            <w:r>
              <w:rPr>
                <w:rFonts w:hint="eastAsia" w:cs="Times New Roman"/>
                <w:sz w:val="18"/>
                <w:szCs w:val="18"/>
              </w:rPr>
              <w:t>规</w:t>
            </w:r>
            <w:r>
              <w:rPr>
                <w:rFonts w:cs="Times New Roman"/>
                <w:sz w:val="18"/>
                <w:szCs w:val="18"/>
              </w:rPr>
              <w:t>】《中华人民共和国森林法实施条例》(2000年1月29日国务院令第278号发布， 2016年2月6日国务院令第666号第二次修订）</w:t>
            </w:r>
            <w:r>
              <w:rPr>
                <w:rFonts w:hint="eastAsia" w:cs="Times New Roman"/>
                <w:sz w:val="18"/>
                <w:szCs w:val="18"/>
              </w:rPr>
              <w:t xml:space="preserve">第四十一条 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 </w:t>
            </w:r>
            <w:r>
              <w:rPr>
                <w:rFonts w:hint="eastAsia"/>
                <w:color w:val="6A6A6A"/>
                <w:sz w:val="18"/>
                <w:szCs w:val="18"/>
              </w:rPr>
              <w:br w:type="textWrapping"/>
            </w:r>
          </w:p>
        </w:tc>
        <w:tc>
          <w:tcPr>
            <w:tcW w:w="2410" w:type="dxa"/>
            <w:vAlign w:val="center"/>
          </w:tcPr>
          <w:p>
            <w:pPr>
              <w:spacing w:line="240" w:lineRule="exact"/>
              <w:rPr>
                <w:rFonts w:cs="Times New Roman"/>
                <w:sz w:val="18"/>
                <w:szCs w:val="18"/>
              </w:rPr>
            </w:pPr>
            <w:r>
              <w:rPr>
                <w:rFonts w:cs="Times New Roman"/>
                <w:b/>
                <w:bCs/>
                <w:sz w:val="18"/>
                <w:szCs w:val="18"/>
              </w:rPr>
              <w:t xml:space="preserve"> 1.审查催告责任</w:t>
            </w:r>
            <w:r>
              <w:rPr>
                <w:rFonts w:cs="Times New Roman"/>
                <w:sz w:val="18"/>
                <w:szCs w:val="18"/>
              </w:rPr>
              <w:t>：审查当事人是否逾期不履行缴费义务，告知加处罚款或滞纳金的标准，加处罚款或滞纳金超过30日，催告当事人履行义务，依法制作催告书。</w:t>
            </w:r>
            <w:r>
              <w:rPr>
                <w:rFonts w:cs="Times New Roman"/>
                <w:sz w:val="18"/>
                <w:szCs w:val="18"/>
              </w:rPr>
              <w:br w:type="textWrapping"/>
            </w:r>
            <w:r>
              <w:rPr>
                <w:rFonts w:cs="Times New Roman"/>
                <w:b/>
                <w:bCs/>
                <w:sz w:val="18"/>
                <w:szCs w:val="18"/>
              </w:rPr>
              <w:t>2.决定责任</w:t>
            </w:r>
            <w:r>
              <w:rPr>
                <w:rFonts w:cs="Times New Roman"/>
                <w:sz w:val="18"/>
                <w:szCs w:val="18"/>
              </w:rPr>
              <w:t>：充分听取当事人提出的事实、理由和证据，进行记录和复核，无正当理由的，向本行政机关负责人报告，经批准作出强制执行决定，送达行政强制执行决定书.</w:t>
            </w:r>
            <w:r>
              <w:rPr>
                <w:rFonts w:cs="Times New Roman"/>
                <w:sz w:val="18"/>
                <w:szCs w:val="18"/>
              </w:rPr>
              <w:br w:type="textWrapping"/>
            </w:r>
            <w:r>
              <w:rPr>
                <w:rFonts w:cs="Times New Roman"/>
                <w:b/>
                <w:bCs/>
                <w:sz w:val="18"/>
                <w:szCs w:val="18"/>
              </w:rPr>
              <w:t>3.执行责任</w:t>
            </w:r>
            <w:r>
              <w:rPr>
                <w:rFonts w:cs="Times New Roman"/>
                <w:sz w:val="18"/>
                <w:szCs w:val="18"/>
              </w:rPr>
              <w:t>：送达行政强制执行决定书，收取加处罚或滞纳金，在规定期限内拒不执行的，可采取申请法院强制执行等措施</w:t>
            </w:r>
            <w:r>
              <w:rPr>
                <w:rFonts w:cs="Times New Roman"/>
                <w:sz w:val="18"/>
                <w:szCs w:val="18"/>
              </w:rPr>
              <w:br w:type="textWrapping"/>
            </w:r>
            <w:r>
              <w:rPr>
                <w:rFonts w:cs="Times New Roman"/>
                <w:b/>
                <w:bCs/>
                <w:sz w:val="18"/>
                <w:szCs w:val="18"/>
              </w:rPr>
              <w:t>4.监管责</w:t>
            </w:r>
            <w:r>
              <w:rPr>
                <w:rFonts w:cs="Times New Roman"/>
                <w:sz w:val="18"/>
                <w:szCs w:val="18"/>
              </w:rPr>
              <w:t>任：加强执法巡查和法规宣传</w:t>
            </w:r>
            <w:r>
              <w:rPr>
                <w:rFonts w:cs="Times New Roman"/>
                <w:sz w:val="18"/>
                <w:szCs w:val="18"/>
              </w:rPr>
              <w:br w:type="textWrapping"/>
            </w:r>
            <w:r>
              <w:rPr>
                <w:rFonts w:cs="Times New Roman"/>
                <w:b/>
                <w:bCs/>
                <w:sz w:val="18"/>
                <w:szCs w:val="18"/>
              </w:rPr>
              <w:t>5.其他法律法规规章文件规定应履行的责任.</w:t>
            </w:r>
          </w:p>
        </w:tc>
        <w:tc>
          <w:tcPr>
            <w:tcW w:w="6103"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r>
              <w:rPr>
                <w:rFonts w:hint="eastAsia" w:cs="Times New Roman"/>
                <w:sz w:val="18"/>
                <w:szCs w:val="18"/>
              </w:rPr>
              <w:t>。</w:t>
            </w:r>
            <w:r>
              <w:rPr>
                <w:rFonts w:cs="Times New Roman"/>
                <w:sz w:val="18"/>
                <w:szCs w:val="18"/>
              </w:rPr>
              <w:br w:type="textWrapping"/>
            </w:r>
            <w:r>
              <w:rPr>
                <w:rFonts w:cs="Times New Roman"/>
                <w:sz w:val="18"/>
                <w:szCs w:val="18"/>
              </w:rPr>
              <w:t xml:space="preserve">    2.【法律】《中华人民共和国行政强制法》（2011年6月30日主席令第四十九号）第三十七条经催告，当事人逾期仍不履行行政决定，且无正当理由的，行政机关可以作出强制执行决定. 强制执行决定应当以书面形式作出，并载明下列事项：（一）当事人的姓名或者名称、地址；（二）强制执行的理由和依据；（三）强制执行的方式和时间；（四）申请行政复议或者提起行政诉讼的途径和期限；（五）行政机关的名称、印章和日期</w:t>
            </w:r>
            <w:r>
              <w:rPr>
                <w:rFonts w:hint="eastAsia" w:cs="Times New Roman"/>
                <w:sz w:val="18"/>
                <w:szCs w:val="18"/>
              </w:rPr>
              <w:t>。</w:t>
            </w:r>
            <w:r>
              <w:rPr>
                <w:rFonts w:cs="Times New Roman"/>
                <w:sz w:val="18"/>
                <w:szCs w:val="18"/>
              </w:rPr>
              <w:t>在催告期间，对有证据证明有转移或者隐匿财物迹象的，行政机关可以作出立即强制执行决定</w:t>
            </w:r>
            <w:r>
              <w:rPr>
                <w:rFonts w:hint="eastAsia" w:cs="Times New Roman"/>
                <w:sz w:val="18"/>
                <w:szCs w:val="18"/>
              </w:rPr>
              <w:t>。</w:t>
            </w:r>
            <w:r>
              <w:rPr>
                <w:rFonts w:cs="Times New Roman"/>
                <w:sz w:val="18"/>
                <w:szCs w:val="18"/>
              </w:rPr>
              <w:br w:type="textWrapping"/>
            </w:r>
            <w:r>
              <w:rPr>
                <w:rFonts w:cs="Times New Roman"/>
                <w:sz w:val="18"/>
                <w:szCs w:val="18"/>
              </w:rPr>
              <w:t xml:space="preserve">    3.【法律】《中华人民共和国行政强制法》（2011年6月30日主席令第四十九号）第三十四条行政机关依法作出行政决定后，当事人在行政机关决定的期限内不履行义务的，具有行政强制执行权的行政机关依照本章规定强制执行</w:t>
            </w:r>
            <w:r>
              <w:rPr>
                <w:rFonts w:hint="eastAsia" w:cs="Times New Roman"/>
                <w:sz w:val="18"/>
                <w:szCs w:val="18"/>
              </w:rPr>
              <w:t>。第五十三条 当事人在法定期限内不申请行政复议或者提起行政诉讼，又不履行行政决定的，没有行政强制执行权的行政机关可以自期限届满之日起三个月内，依照本章规定申请人民法院强制执行。</w:t>
            </w:r>
            <w:r>
              <w:rPr>
                <w:rFonts w:cs="Times New Roman"/>
                <w:sz w:val="18"/>
                <w:szCs w:val="18"/>
              </w:rPr>
              <w:br w:type="textWrapping"/>
            </w:r>
            <w:r>
              <w:rPr>
                <w:rFonts w:cs="Times New Roman"/>
                <w:sz w:val="18"/>
                <w:szCs w:val="18"/>
              </w:rPr>
              <w:t xml:space="preserve">    4.同3.</w:t>
            </w:r>
          </w:p>
        </w:tc>
        <w:tc>
          <w:tcPr>
            <w:tcW w:w="1559"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1.无法定依据或者超越法定权限实施行政强制的；</w:t>
            </w:r>
            <w:r>
              <w:rPr>
                <w:rFonts w:cs="Times New Roman"/>
                <w:sz w:val="18"/>
                <w:szCs w:val="18"/>
              </w:rPr>
              <w:br w:type="textWrapping"/>
            </w:r>
            <w:r>
              <w:rPr>
                <w:rFonts w:cs="Times New Roman"/>
                <w:sz w:val="18"/>
                <w:szCs w:val="18"/>
              </w:rPr>
              <w:t>2.违反法定程序实施行政强制的；</w:t>
            </w:r>
            <w:r>
              <w:rPr>
                <w:rFonts w:cs="Times New Roman"/>
                <w:sz w:val="18"/>
                <w:szCs w:val="18"/>
              </w:rPr>
              <w:br w:type="textWrapping"/>
            </w:r>
            <w:r>
              <w:rPr>
                <w:rFonts w:cs="Times New Roman"/>
                <w:sz w:val="18"/>
                <w:szCs w:val="18"/>
              </w:rPr>
              <w:t>3.不具备行政执法资格实施行政强制的；</w:t>
            </w:r>
            <w:r>
              <w:rPr>
                <w:rFonts w:cs="Times New Roman"/>
                <w:sz w:val="18"/>
                <w:szCs w:val="18"/>
              </w:rPr>
              <w:br w:type="textWrapping"/>
            </w:r>
            <w:r>
              <w:rPr>
                <w:rFonts w:cs="Times New Roman"/>
                <w:sz w:val="18"/>
                <w:szCs w:val="18"/>
              </w:rPr>
              <w:t>4.违法扩大查封范围、使用或者损毁查封、扣押场所、设施或者财物等滥用职权的；</w:t>
            </w:r>
            <w:r>
              <w:rPr>
                <w:rFonts w:cs="Times New Roman"/>
                <w:sz w:val="18"/>
                <w:szCs w:val="18"/>
              </w:rPr>
              <w:br w:type="textWrapping"/>
            </w:r>
            <w:r>
              <w:rPr>
                <w:rFonts w:cs="Times New Roman"/>
                <w:sz w:val="18"/>
                <w:szCs w:val="18"/>
              </w:rPr>
              <w:t>5.利用行政强制权为单位或者个人谋取利益的；</w:t>
            </w:r>
            <w:r>
              <w:rPr>
                <w:rFonts w:cs="Times New Roman"/>
                <w:sz w:val="18"/>
                <w:szCs w:val="18"/>
              </w:rPr>
              <w:br w:type="textWrapping"/>
            </w:r>
            <w:r>
              <w:rPr>
                <w:rFonts w:cs="Times New Roman"/>
                <w:sz w:val="18"/>
                <w:szCs w:val="18"/>
              </w:rPr>
              <w:t>6.其他违反法律法规规章文件规定的行为.</w:t>
            </w:r>
          </w:p>
        </w:tc>
        <w:tc>
          <w:tcPr>
            <w:tcW w:w="4678"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cs="Times New Roman"/>
                <w:sz w:val="18"/>
                <w:szCs w:val="18"/>
              </w:rPr>
              <w:br w:type="textWrapping"/>
            </w:r>
            <w:r>
              <w:rPr>
                <w:rFonts w:cs="Times New Roman"/>
                <w:sz w:val="18"/>
                <w:szCs w:val="18"/>
              </w:rPr>
              <w:t xml:space="preserve">    2.同1. </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4.【法律】《中华人民共和国行政强制法》（2011年6月30日主席令第四十九号）第六十二条　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r>
              <w:rPr>
                <w:rFonts w:cs="Times New Roman"/>
                <w:sz w:val="18"/>
                <w:szCs w:val="18"/>
              </w:rPr>
              <w:br w:type="textWrapping"/>
            </w:r>
            <w:r>
              <w:rPr>
                <w:rFonts w:cs="Times New Roman"/>
                <w:sz w:val="18"/>
                <w:szCs w:val="18"/>
              </w:rPr>
              <w:t xml:space="preserve">    5.【法律】《中华人民共和国行政强制法》（2011年6月30日主席令第四十九号）第六十四条　行政机关及其工作人员利用行政强制权为单位或者个人谋取利益的，由上级行政机关或者有关部门责令改正，对直接负责的主管人员和其他直接责任人员依法给予处分。</w:t>
            </w:r>
            <w:r>
              <w:rPr>
                <w:rFonts w:cs="Times New Roman"/>
                <w:sz w:val="18"/>
                <w:szCs w:val="18"/>
              </w:rPr>
              <w:br w:type="textWrapping"/>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721"/>
        <w:gridCol w:w="790"/>
        <w:gridCol w:w="769"/>
        <w:gridCol w:w="3527"/>
        <w:gridCol w:w="2696"/>
        <w:gridCol w:w="6109"/>
        <w:gridCol w:w="1561"/>
        <w:gridCol w:w="4682"/>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773" w:type="dxa"/>
            <w:vAlign w:val="center"/>
          </w:tcPr>
          <w:p>
            <w:pPr>
              <w:spacing w:line="280" w:lineRule="exact"/>
              <w:jc w:val="center"/>
              <w:rPr>
                <w:rFonts w:cs="Times New Roman"/>
                <w:sz w:val="18"/>
                <w:szCs w:val="18"/>
              </w:rPr>
            </w:pPr>
            <w:r>
              <w:rPr>
                <w:rFonts w:cs="Times New Roman"/>
                <w:sz w:val="18"/>
                <w:szCs w:val="18"/>
              </w:rPr>
              <w:t>序号</w:t>
            </w:r>
          </w:p>
        </w:tc>
        <w:tc>
          <w:tcPr>
            <w:tcW w:w="721" w:type="dxa"/>
            <w:vAlign w:val="center"/>
          </w:tcPr>
          <w:p>
            <w:pPr>
              <w:spacing w:line="280" w:lineRule="exact"/>
              <w:jc w:val="center"/>
              <w:rPr>
                <w:rFonts w:cs="Times New Roman"/>
                <w:sz w:val="18"/>
                <w:szCs w:val="18"/>
              </w:rPr>
            </w:pPr>
            <w:r>
              <w:rPr>
                <w:rFonts w:cs="Times New Roman"/>
                <w:sz w:val="18"/>
                <w:szCs w:val="18"/>
              </w:rPr>
              <w:t>权力分类</w:t>
            </w:r>
          </w:p>
        </w:tc>
        <w:tc>
          <w:tcPr>
            <w:tcW w:w="790" w:type="dxa"/>
            <w:vAlign w:val="center"/>
          </w:tcPr>
          <w:p>
            <w:pPr>
              <w:spacing w:line="280" w:lineRule="exact"/>
              <w:jc w:val="center"/>
              <w:rPr>
                <w:rFonts w:cs="Times New Roman"/>
                <w:sz w:val="18"/>
                <w:szCs w:val="18"/>
              </w:rPr>
            </w:pPr>
            <w:r>
              <w:rPr>
                <w:rFonts w:cs="Times New Roman"/>
                <w:sz w:val="18"/>
                <w:szCs w:val="18"/>
              </w:rPr>
              <w:t>项目名称</w:t>
            </w:r>
          </w:p>
        </w:tc>
        <w:tc>
          <w:tcPr>
            <w:tcW w:w="769" w:type="dxa"/>
            <w:vAlign w:val="center"/>
          </w:tcPr>
          <w:p>
            <w:pPr>
              <w:spacing w:line="280" w:lineRule="exact"/>
              <w:jc w:val="center"/>
              <w:rPr>
                <w:rFonts w:cs="Times New Roman"/>
                <w:sz w:val="18"/>
                <w:szCs w:val="18"/>
              </w:rPr>
            </w:pPr>
            <w:r>
              <w:rPr>
                <w:rFonts w:cs="Times New Roman"/>
                <w:sz w:val="18"/>
                <w:szCs w:val="18"/>
              </w:rPr>
              <w:t>子项</w:t>
            </w:r>
          </w:p>
        </w:tc>
        <w:tc>
          <w:tcPr>
            <w:tcW w:w="3527" w:type="dxa"/>
            <w:vAlign w:val="center"/>
          </w:tcPr>
          <w:p>
            <w:pPr>
              <w:spacing w:line="280" w:lineRule="exact"/>
              <w:jc w:val="center"/>
              <w:rPr>
                <w:rFonts w:cs="Times New Roman"/>
                <w:sz w:val="18"/>
                <w:szCs w:val="18"/>
              </w:rPr>
            </w:pPr>
            <w:r>
              <w:rPr>
                <w:rFonts w:cs="Times New Roman"/>
                <w:sz w:val="18"/>
                <w:szCs w:val="18"/>
              </w:rPr>
              <w:t>实施依据</w:t>
            </w:r>
          </w:p>
        </w:tc>
        <w:tc>
          <w:tcPr>
            <w:tcW w:w="2696" w:type="dxa"/>
            <w:vAlign w:val="center"/>
          </w:tcPr>
          <w:p>
            <w:pPr>
              <w:spacing w:line="280" w:lineRule="exact"/>
              <w:jc w:val="center"/>
              <w:rPr>
                <w:rFonts w:cs="Times New Roman"/>
                <w:sz w:val="18"/>
                <w:szCs w:val="18"/>
              </w:rPr>
            </w:pPr>
            <w:r>
              <w:rPr>
                <w:rFonts w:cs="Times New Roman"/>
                <w:sz w:val="18"/>
                <w:szCs w:val="18"/>
              </w:rPr>
              <w:t>责任事项</w:t>
            </w:r>
          </w:p>
        </w:tc>
        <w:tc>
          <w:tcPr>
            <w:tcW w:w="6109" w:type="dxa"/>
            <w:vAlign w:val="center"/>
          </w:tcPr>
          <w:p>
            <w:pPr>
              <w:spacing w:line="280" w:lineRule="exact"/>
              <w:jc w:val="center"/>
              <w:rPr>
                <w:rFonts w:cs="Times New Roman"/>
                <w:sz w:val="18"/>
                <w:szCs w:val="18"/>
              </w:rPr>
            </w:pPr>
            <w:r>
              <w:rPr>
                <w:rFonts w:cs="Times New Roman"/>
                <w:sz w:val="18"/>
                <w:szCs w:val="18"/>
              </w:rPr>
              <w:t>责任事项依据</w:t>
            </w:r>
          </w:p>
        </w:tc>
        <w:tc>
          <w:tcPr>
            <w:tcW w:w="1561" w:type="dxa"/>
            <w:vAlign w:val="center"/>
          </w:tcPr>
          <w:p>
            <w:pPr>
              <w:spacing w:line="280" w:lineRule="exact"/>
              <w:jc w:val="center"/>
              <w:rPr>
                <w:rFonts w:cs="Times New Roman"/>
                <w:sz w:val="18"/>
                <w:szCs w:val="18"/>
              </w:rPr>
            </w:pPr>
            <w:r>
              <w:rPr>
                <w:rFonts w:cs="Times New Roman"/>
                <w:sz w:val="18"/>
                <w:szCs w:val="18"/>
              </w:rPr>
              <w:t>追责情形</w:t>
            </w:r>
          </w:p>
        </w:tc>
        <w:tc>
          <w:tcPr>
            <w:tcW w:w="4682"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6" w:hRule="atLeast"/>
          <w:jc w:val="center"/>
        </w:trPr>
        <w:tc>
          <w:tcPr>
            <w:tcW w:w="773" w:type="dxa"/>
            <w:vAlign w:val="center"/>
          </w:tcPr>
          <w:p>
            <w:pPr>
              <w:spacing w:line="240" w:lineRule="exact"/>
              <w:rPr>
                <w:rFonts w:cs="Times New Roman"/>
                <w:sz w:val="18"/>
                <w:szCs w:val="18"/>
              </w:rPr>
            </w:pPr>
            <w:r>
              <w:rPr>
                <w:rFonts w:hint="eastAsia" w:cs="Times New Roman"/>
                <w:sz w:val="18"/>
                <w:szCs w:val="18"/>
              </w:rPr>
              <w:t>68</w:t>
            </w:r>
          </w:p>
        </w:tc>
        <w:tc>
          <w:tcPr>
            <w:tcW w:w="72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强制</w:t>
            </w:r>
          </w:p>
        </w:tc>
        <w:tc>
          <w:tcPr>
            <w:tcW w:w="790" w:type="dxa"/>
            <w:vAlign w:val="center"/>
          </w:tcPr>
          <w:p>
            <w:pPr>
              <w:spacing w:line="240" w:lineRule="exact"/>
              <w:rPr>
                <w:rFonts w:cs="Times New Roman"/>
                <w:sz w:val="18"/>
                <w:szCs w:val="18"/>
              </w:rPr>
            </w:pPr>
            <w:r>
              <w:rPr>
                <w:rFonts w:hint="eastAsia" w:cs="Times New Roman"/>
                <w:sz w:val="18"/>
                <w:szCs w:val="18"/>
              </w:rPr>
              <w:t>封存或者扣押与案件有关的植物品种的繁殖材料，查阅、复制或者封存与案件有关的合同、帐册及有关文件的行政强制</w:t>
            </w:r>
          </w:p>
        </w:tc>
        <w:tc>
          <w:tcPr>
            <w:tcW w:w="769" w:type="dxa"/>
            <w:vAlign w:val="center"/>
          </w:tcPr>
          <w:p>
            <w:pPr>
              <w:spacing w:line="240" w:lineRule="exact"/>
              <w:rPr>
                <w:rFonts w:cs="Times New Roman"/>
                <w:sz w:val="18"/>
                <w:szCs w:val="18"/>
              </w:rPr>
            </w:pPr>
            <w:r>
              <w:rPr>
                <w:rFonts w:cs="Times New Roman"/>
                <w:sz w:val="18"/>
                <w:szCs w:val="18"/>
              </w:rPr>
              <w:t>　</w:t>
            </w:r>
          </w:p>
        </w:tc>
        <w:tc>
          <w:tcPr>
            <w:tcW w:w="3527" w:type="dxa"/>
            <w:vAlign w:val="center"/>
          </w:tcPr>
          <w:p>
            <w:pPr>
              <w:spacing w:line="240" w:lineRule="exact"/>
              <w:rPr>
                <w:rFonts w:cs="Times New Roman"/>
                <w:sz w:val="18"/>
                <w:szCs w:val="18"/>
              </w:rPr>
            </w:pPr>
            <w:r>
              <w:rPr>
                <w:rFonts w:cs="Times New Roman"/>
                <w:sz w:val="18"/>
                <w:szCs w:val="18"/>
              </w:rPr>
              <w:t>【法规】《</w:t>
            </w:r>
            <w:r>
              <w:rPr>
                <w:rFonts w:hint="eastAsia" w:cs="Times New Roman"/>
                <w:sz w:val="18"/>
                <w:szCs w:val="18"/>
              </w:rPr>
              <w:t>中华人民共和国植物新品种保护条例</w:t>
            </w:r>
            <w:r>
              <w:rPr>
                <w:rFonts w:cs="Times New Roman"/>
                <w:sz w:val="18"/>
                <w:szCs w:val="18"/>
              </w:rPr>
              <w:t>》（</w:t>
            </w:r>
            <w:r>
              <w:rPr>
                <w:rFonts w:hint="eastAsia" w:cs="Times New Roman"/>
                <w:sz w:val="18"/>
                <w:szCs w:val="18"/>
              </w:rPr>
              <w:t>1997年3月20日中华人民共和国国务院令第213号公布，2014年7月29日国务院令第653号第二次修改</w:t>
            </w:r>
            <w:r>
              <w:rPr>
                <w:rFonts w:cs="Times New Roman"/>
                <w:sz w:val="18"/>
                <w:szCs w:val="18"/>
              </w:rPr>
              <w:t>）</w:t>
            </w:r>
            <w:r>
              <w:rPr>
                <w:rFonts w:hint="eastAsia" w:cs="Times New Roman"/>
                <w:sz w:val="18"/>
                <w:szCs w:val="18"/>
              </w:rPr>
              <w:t> 第四十一条　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封存与案件有关的合同、帐册及有关文件。</w:t>
            </w:r>
            <w:r>
              <w:rPr>
                <w:rStyle w:val="14"/>
                <w:rFonts w:hint="eastAsia"/>
                <w:color w:val="4C4C4C"/>
                <w:sz w:val="18"/>
                <w:szCs w:val="18"/>
                <w:shd w:val="clear" w:color="auto" w:fill="FFFFFF"/>
              </w:rPr>
              <w:t> </w:t>
            </w:r>
          </w:p>
        </w:tc>
        <w:tc>
          <w:tcPr>
            <w:tcW w:w="2696" w:type="dxa"/>
            <w:vAlign w:val="center"/>
          </w:tcPr>
          <w:p>
            <w:pPr>
              <w:spacing w:line="240" w:lineRule="exact"/>
              <w:rPr>
                <w:rFonts w:cs="Times New Roman"/>
                <w:sz w:val="18"/>
                <w:szCs w:val="18"/>
              </w:rPr>
            </w:pPr>
            <w:r>
              <w:rPr>
                <w:rFonts w:cs="Times New Roman"/>
                <w:b/>
                <w:bCs/>
                <w:sz w:val="18"/>
                <w:szCs w:val="18"/>
              </w:rPr>
              <w:t>1.审批责任</w:t>
            </w:r>
            <w:r>
              <w:rPr>
                <w:rFonts w:cs="Times New Roman"/>
                <w:sz w:val="18"/>
                <w:szCs w:val="18"/>
              </w:rPr>
              <w:t>：实施前须向行政机关负责人报告并经批准。情况紧急，需要当场实施的，应当在24小时内向负责人报告，并补办批准手续。</w:t>
            </w:r>
            <w:r>
              <w:rPr>
                <w:rFonts w:cs="Times New Roman"/>
                <w:sz w:val="18"/>
                <w:szCs w:val="18"/>
              </w:rPr>
              <w:br w:type="textWrapping"/>
            </w:r>
            <w:r>
              <w:rPr>
                <w:rFonts w:cs="Times New Roman"/>
                <w:b/>
                <w:bCs/>
                <w:sz w:val="18"/>
                <w:szCs w:val="18"/>
              </w:rPr>
              <w:t>2.实施责任</w:t>
            </w:r>
            <w:r>
              <w:rPr>
                <w:rFonts w:cs="Times New Roman"/>
                <w:sz w:val="18"/>
                <w:szCs w:val="18"/>
              </w:rPr>
              <w:t>：由两名以上行政执法人员实施并出示执法身份证件；通知当事人到场、听取当事人的陈述和申辩；制作现场笔录；当事人不到场的，邀请见证人到场，由见证人和行政执法人员在现场笔录上签名或者盖章等；</w:t>
            </w:r>
            <w:r>
              <w:rPr>
                <w:rFonts w:cs="Times New Roman"/>
                <w:sz w:val="18"/>
                <w:szCs w:val="18"/>
              </w:rPr>
              <w:br w:type="textWrapping"/>
            </w:r>
            <w:r>
              <w:rPr>
                <w:rFonts w:cs="Times New Roman"/>
                <w:b/>
                <w:bCs/>
                <w:sz w:val="18"/>
                <w:szCs w:val="18"/>
              </w:rPr>
              <w:t xml:space="preserve"> 3.告知责任</w:t>
            </w:r>
            <w:r>
              <w:rPr>
                <w:rFonts w:cs="Times New Roman"/>
                <w:sz w:val="18"/>
                <w:szCs w:val="18"/>
              </w:rPr>
              <w:t>：当场告知当事人采取行政强制措施的理由、依据以及当事人依法享有的陈述、申辩权利等，告知其享有的权利。对需要延长查封、扣押期限的应当书面告知当事人并说明理由。对物品需要鉴定、检测、检验或者技术鉴定的，应当书面告知当事人需要的期间。</w:t>
            </w:r>
            <w:r>
              <w:rPr>
                <w:rFonts w:cs="Times New Roman"/>
                <w:sz w:val="18"/>
                <w:szCs w:val="18"/>
              </w:rPr>
              <w:br w:type="textWrapping"/>
            </w:r>
            <w:r>
              <w:rPr>
                <w:rFonts w:cs="Times New Roman"/>
                <w:b/>
                <w:bCs/>
                <w:sz w:val="18"/>
                <w:szCs w:val="18"/>
              </w:rPr>
              <w:t xml:space="preserve"> 4.监管责任</w:t>
            </w:r>
            <w:r>
              <w:rPr>
                <w:rFonts w:cs="Times New Roman"/>
                <w:sz w:val="18"/>
                <w:szCs w:val="18"/>
              </w:rPr>
              <w:t>：应当妥善保管查封、扣押的财物，严禁动用、调换、损毁。及时查清事实，在查封扣押后25日内做出处理决定。</w:t>
            </w:r>
            <w:r>
              <w:rPr>
                <w:rFonts w:cs="Times New Roman"/>
                <w:sz w:val="18"/>
                <w:szCs w:val="18"/>
              </w:rPr>
              <w:br w:type="textWrapping"/>
            </w:r>
            <w:r>
              <w:rPr>
                <w:rFonts w:cs="Times New Roman"/>
                <w:b/>
                <w:bCs/>
                <w:sz w:val="18"/>
                <w:szCs w:val="18"/>
              </w:rPr>
              <w:t>5.其他法律法规规章文件规定要求履行的责任。</w:t>
            </w:r>
          </w:p>
        </w:tc>
        <w:tc>
          <w:tcPr>
            <w:tcW w:w="6109" w:type="dxa"/>
            <w:vAlign w:val="center"/>
          </w:tcPr>
          <w:p>
            <w:pPr>
              <w:spacing w:line="240" w:lineRule="exact"/>
              <w:rPr>
                <w:rFonts w:cs="Times New Roman"/>
                <w:sz w:val="18"/>
                <w:szCs w:val="18"/>
              </w:rPr>
            </w:pPr>
            <w:r>
              <w:rPr>
                <w:rFonts w:cs="Times New Roman"/>
                <w:sz w:val="18"/>
                <w:szCs w:val="18"/>
              </w:rPr>
              <w:t>1.【法律】《中华人民共和国行政强制法》（2011年6月30日主席令第四十九号）第十八条　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4.【法律】《中华人民共和国行政强制法》（2011年6月30日主席令第四十九号）第二十七条　行政机关采取查封、扣押措施后，应当及时查清事实，在本法第二十五条规定的期限内作出处理决定。对违法事实清楚，依法应当没收的非法财物予以没收；法律、法规规定应当销毁的，依法销毁；应当解除查封、扣押的，作出解除查封、扣押的决定。</w:t>
            </w:r>
          </w:p>
        </w:tc>
        <w:tc>
          <w:tcPr>
            <w:tcW w:w="156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1.无法定依据或者超越法定权限实施行政强制的；</w:t>
            </w:r>
            <w:r>
              <w:rPr>
                <w:rFonts w:cs="Times New Roman"/>
                <w:sz w:val="18"/>
                <w:szCs w:val="18"/>
              </w:rPr>
              <w:br w:type="textWrapping"/>
            </w:r>
            <w:r>
              <w:rPr>
                <w:rFonts w:cs="Times New Roman"/>
                <w:sz w:val="18"/>
                <w:szCs w:val="18"/>
              </w:rPr>
              <w:t>2.违反法定程序实施行政强制的；</w:t>
            </w:r>
            <w:r>
              <w:rPr>
                <w:rFonts w:cs="Times New Roman"/>
                <w:sz w:val="18"/>
                <w:szCs w:val="18"/>
              </w:rPr>
              <w:br w:type="textWrapping"/>
            </w:r>
            <w:r>
              <w:rPr>
                <w:rFonts w:cs="Times New Roman"/>
                <w:sz w:val="18"/>
                <w:szCs w:val="18"/>
              </w:rPr>
              <w:t>3.不具备行政执法资格实施行政强制的；</w:t>
            </w:r>
            <w:r>
              <w:rPr>
                <w:rFonts w:cs="Times New Roman"/>
                <w:sz w:val="18"/>
                <w:szCs w:val="18"/>
              </w:rPr>
              <w:br w:type="textWrapping"/>
            </w:r>
            <w:r>
              <w:rPr>
                <w:rFonts w:cs="Times New Roman"/>
                <w:sz w:val="18"/>
                <w:szCs w:val="18"/>
              </w:rPr>
              <w:t>4.违法扩大查封范围、使用或者损毁查封、扣押场所、设施或者财物等滥用职权的；</w:t>
            </w:r>
            <w:r>
              <w:rPr>
                <w:rFonts w:cs="Times New Roman"/>
                <w:sz w:val="18"/>
                <w:szCs w:val="18"/>
              </w:rPr>
              <w:br w:type="textWrapping"/>
            </w:r>
            <w:r>
              <w:rPr>
                <w:rFonts w:cs="Times New Roman"/>
                <w:sz w:val="18"/>
                <w:szCs w:val="18"/>
              </w:rPr>
              <w:t>5.利用行政强制权为单位或者个人谋取利益的；</w:t>
            </w:r>
            <w:r>
              <w:rPr>
                <w:rFonts w:cs="Times New Roman"/>
                <w:sz w:val="18"/>
                <w:szCs w:val="18"/>
              </w:rPr>
              <w:br w:type="textWrapping"/>
            </w:r>
            <w:r>
              <w:rPr>
                <w:rFonts w:cs="Times New Roman"/>
                <w:sz w:val="18"/>
                <w:szCs w:val="18"/>
              </w:rPr>
              <w:t>6.其他违反法律法规规章文件规定的行为.</w:t>
            </w:r>
          </w:p>
        </w:tc>
        <w:tc>
          <w:tcPr>
            <w:tcW w:w="4682" w:type="dxa"/>
            <w:vAlign w:val="center"/>
          </w:tcPr>
          <w:p>
            <w:pPr>
              <w:spacing w:line="240" w:lineRule="exact"/>
              <w:rPr>
                <w:rFonts w:cs="Times New Roman"/>
                <w:sz w:val="18"/>
                <w:szCs w:val="18"/>
              </w:rPr>
            </w:pPr>
            <w:r>
              <w:rPr>
                <w:rFonts w:cs="Times New Roman"/>
                <w:sz w:val="18"/>
                <w:szCs w:val="18"/>
              </w:rPr>
              <w:t xml:space="preserve">    1.【法律】《中华人民共和国行政强制法》（2011年6月30日主席令第四十九号）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cs="Times New Roman"/>
                <w:sz w:val="18"/>
                <w:szCs w:val="18"/>
              </w:rPr>
              <w:br w:type="textWrapping"/>
            </w:r>
            <w:r>
              <w:rPr>
                <w:rFonts w:cs="Times New Roman"/>
                <w:sz w:val="18"/>
                <w:szCs w:val="18"/>
              </w:rPr>
              <w:t xml:space="preserve">    2.同1. </w:t>
            </w:r>
            <w:r>
              <w:rPr>
                <w:rFonts w:cs="Times New Roman"/>
                <w:sz w:val="18"/>
                <w:szCs w:val="18"/>
              </w:rPr>
              <w:br w:type="textWrapping"/>
            </w:r>
            <w:r>
              <w:rPr>
                <w:rFonts w:cs="Times New Roman"/>
                <w:sz w:val="18"/>
                <w:szCs w:val="18"/>
              </w:rPr>
              <w:t xml:space="preserve">    3.同1.</w:t>
            </w:r>
            <w:r>
              <w:rPr>
                <w:rFonts w:cs="Times New Roman"/>
                <w:sz w:val="18"/>
                <w:szCs w:val="18"/>
              </w:rPr>
              <w:br w:type="textWrapping"/>
            </w:r>
            <w:r>
              <w:rPr>
                <w:rFonts w:cs="Times New Roman"/>
                <w:sz w:val="18"/>
                <w:szCs w:val="18"/>
              </w:rPr>
              <w:t xml:space="preserve">    4.【法律】《中华人民共和国行政强制法》（2011年6月30日主席令第四十九号）第六十二条　违反本法规定，行政机关有下列情形之一的，由上级行政机关或者有关部门责令改正，对直接负责的主管人员和其他直接责任人员依法给予处分：（一）扩大查封、扣押、冻结范围的；（二）使用或者损毁查封、扣押场所、设施或者财物的；（三）在查封、扣押法定期间不作出处理决定或者未依法及时解除查封、扣押的；（四）在冻结存款、汇款法定期间不作出处理决定或者未依法及时解除冻结的。</w:t>
            </w:r>
            <w:r>
              <w:rPr>
                <w:rFonts w:cs="Times New Roman"/>
                <w:sz w:val="18"/>
                <w:szCs w:val="18"/>
              </w:rPr>
              <w:br w:type="textWrapping"/>
            </w:r>
            <w:r>
              <w:rPr>
                <w:rFonts w:cs="Times New Roman"/>
                <w:sz w:val="18"/>
                <w:szCs w:val="18"/>
              </w:rPr>
              <w:t xml:space="preserve">    5.【法律】《中华人民共和国行政强制法》（2011年6月30日主席令第四十九号）第六十四条　行政机关及其工作人员利用行政强制权为单位或者个人谋取利益的，由上级行政机关或者有关部门责令改正，对直接负责的主管人员和其他直接责任人员依法给予处分。</w:t>
            </w:r>
            <w:r>
              <w:rPr>
                <w:rFonts w:cs="Times New Roman"/>
                <w:sz w:val="18"/>
                <w:szCs w:val="18"/>
              </w:rPr>
              <w:br w:type="textWrapping"/>
            </w:r>
          </w:p>
        </w:tc>
        <w:tc>
          <w:tcPr>
            <w:tcW w:w="612"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739"/>
        <w:gridCol w:w="786"/>
        <w:gridCol w:w="751"/>
        <w:gridCol w:w="3535"/>
        <w:gridCol w:w="2691"/>
        <w:gridCol w:w="6098"/>
        <w:gridCol w:w="1557"/>
        <w:gridCol w:w="4675"/>
        <w:gridCol w:w="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755" w:type="dxa"/>
            <w:vAlign w:val="center"/>
          </w:tcPr>
          <w:p>
            <w:pPr>
              <w:spacing w:line="280" w:lineRule="exact"/>
              <w:jc w:val="center"/>
              <w:rPr>
                <w:rFonts w:cs="Times New Roman"/>
                <w:sz w:val="18"/>
                <w:szCs w:val="18"/>
              </w:rPr>
            </w:pPr>
            <w:r>
              <w:rPr>
                <w:rFonts w:cs="Times New Roman"/>
                <w:sz w:val="18"/>
                <w:szCs w:val="18"/>
              </w:rPr>
              <w:t>序号</w:t>
            </w:r>
          </w:p>
        </w:tc>
        <w:tc>
          <w:tcPr>
            <w:tcW w:w="739" w:type="dxa"/>
            <w:vAlign w:val="center"/>
          </w:tcPr>
          <w:p>
            <w:pPr>
              <w:spacing w:line="280" w:lineRule="exact"/>
              <w:jc w:val="center"/>
              <w:rPr>
                <w:rFonts w:cs="Times New Roman"/>
                <w:sz w:val="18"/>
                <w:szCs w:val="18"/>
              </w:rPr>
            </w:pPr>
            <w:r>
              <w:rPr>
                <w:rFonts w:cs="Times New Roman"/>
                <w:sz w:val="18"/>
                <w:szCs w:val="18"/>
              </w:rPr>
              <w:t>权力分类</w:t>
            </w:r>
          </w:p>
        </w:tc>
        <w:tc>
          <w:tcPr>
            <w:tcW w:w="786" w:type="dxa"/>
            <w:vAlign w:val="center"/>
          </w:tcPr>
          <w:p>
            <w:pPr>
              <w:spacing w:line="280" w:lineRule="exact"/>
              <w:jc w:val="center"/>
              <w:rPr>
                <w:rFonts w:cs="Times New Roman"/>
                <w:sz w:val="18"/>
                <w:szCs w:val="18"/>
              </w:rPr>
            </w:pPr>
            <w:r>
              <w:rPr>
                <w:rFonts w:cs="Times New Roman"/>
                <w:sz w:val="18"/>
                <w:szCs w:val="18"/>
              </w:rPr>
              <w:t>项目名称</w:t>
            </w:r>
          </w:p>
        </w:tc>
        <w:tc>
          <w:tcPr>
            <w:tcW w:w="751" w:type="dxa"/>
            <w:vAlign w:val="center"/>
          </w:tcPr>
          <w:p>
            <w:pPr>
              <w:spacing w:line="280" w:lineRule="exact"/>
              <w:jc w:val="center"/>
              <w:rPr>
                <w:rFonts w:cs="Times New Roman"/>
                <w:sz w:val="18"/>
                <w:szCs w:val="18"/>
              </w:rPr>
            </w:pPr>
            <w:r>
              <w:rPr>
                <w:rFonts w:cs="Times New Roman"/>
                <w:sz w:val="18"/>
                <w:szCs w:val="18"/>
              </w:rPr>
              <w:t>子项</w:t>
            </w:r>
          </w:p>
        </w:tc>
        <w:tc>
          <w:tcPr>
            <w:tcW w:w="3535" w:type="dxa"/>
            <w:vAlign w:val="center"/>
          </w:tcPr>
          <w:p>
            <w:pPr>
              <w:spacing w:line="280" w:lineRule="exact"/>
              <w:jc w:val="center"/>
              <w:rPr>
                <w:rFonts w:cs="Times New Roman"/>
                <w:sz w:val="18"/>
                <w:szCs w:val="18"/>
              </w:rPr>
            </w:pPr>
            <w:r>
              <w:rPr>
                <w:rFonts w:cs="Times New Roman"/>
                <w:sz w:val="18"/>
                <w:szCs w:val="18"/>
              </w:rPr>
              <w:t>实施依据</w:t>
            </w:r>
          </w:p>
        </w:tc>
        <w:tc>
          <w:tcPr>
            <w:tcW w:w="2691" w:type="dxa"/>
            <w:vAlign w:val="center"/>
          </w:tcPr>
          <w:p>
            <w:pPr>
              <w:spacing w:line="280" w:lineRule="exact"/>
              <w:jc w:val="center"/>
              <w:rPr>
                <w:rFonts w:cs="Times New Roman"/>
                <w:sz w:val="18"/>
                <w:szCs w:val="18"/>
              </w:rPr>
            </w:pPr>
            <w:r>
              <w:rPr>
                <w:rFonts w:cs="Times New Roman"/>
                <w:sz w:val="18"/>
                <w:szCs w:val="18"/>
              </w:rPr>
              <w:t>责任事项</w:t>
            </w:r>
          </w:p>
        </w:tc>
        <w:tc>
          <w:tcPr>
            <w:tcW w:w="6098" w:type="dxa"/>
            <w:vAlign w:val="center"/>
          </w:tcPr>
          <w:p>
            <w:pPr>
              <w:spacing w:line="280" w:lineRule="exact"/>
              <w:jc w:val="center"/>
              <w:rPr>
                <w:rFonts w:cs="Times New Roman"/>
                <w:sz w:val="18"/>
                <w:szCs w:val="18"/>
              </w:rPr>
            </w:pPr>
            <w:r>
              <w:rPr>
                <w:rFonts w:cs="Times New Roman"/>
                <w:sz w:val="18"/>
                <w:szCs w:val="18"/>
              </w:rPr>
              <w:t>责任事项依据</w:t>
            </w:r>
          </w:p>
        </w:tc>
        <w:tc>
          <w:tcPr>
            <w:tcW w:w="1557" w:type="dxa"/>
            <w:vAlign w:val="center"/>
          </w:tcPr>
          <w:p>
            <w:pPr>
              <w:spacing w:line="280" w:lineRule="exact"/>
              <w:jc w:val="center"/>
              <w:rPr>
                <w:rFonts w:cs="Times New Roman"/>
                <w:sz w:val="18"/>
                <w:szCs w:val="18"/>
              </w:rPr>
            </w:pPr>
            <w:r>
              <w:rPr>
                <w:rFonts w:cs="Times New Roman"/>
                <w:sz w:val="18"/>
                <w:szCs w:val="18"/>
              </w:rPr>
              <w:t>追责情形</w:t>
            </w:r>
          </w:p>
        </w:tc>
        <w:tc>
          <w:tcPr>
            <w:tcW w:w="4675" w:type="dxa"/>
            <w:vAlign w:val="center"/>
          </w:tcPr>
          <w:p>
            <w:pPr>
              <w:spacing w:line="280" w:lineRule="exact"/>
              <w:jc w:val="center"/>
              <w:rPr>
                <w:rFonts w:cs="Times New Roman"/>
                <w:sz w:val="18"/>
                <w:szCs w:val="18"/>
              </w:rPr>
            </w:pPr>
            <w:r>
              <w:rPr>
                <w:rFonts w:cs="Times New Roman"/>
                <w:sz w:val="18"/>
                <w:szCs w:val="18"/>
              </w:rPr>
              <w:t>追责依据</w:t>
            </w:r>
          </w:p>
        </w:tc>
        <w:tc>
          <w:tcPr>
            <w:tcW w:w="613"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8" w:hRule="atLeast"/>
          <w:jc w:val="center"/>
        </w:trPr>
        <w:tc>
          <w:tcPr>
            <w:tcW w:w="755" w:type="dxa"/>
            <w:vAlign w:val="center"/>
          </w:tcPr>
          <w:p>
            <w:pPr>
              <w:spacing w:line="240" w:lineRule="exact"/>
              <w:rPr>
                <w:rFonts w:cs="Times New Roman"/>
                <w:sz w:val="18"/>
                <w:szCs w:val="18"/>
              </w:rPr>
            </w:pPr>
            <w:r>
              <w:rPr>
                <w:rFonts w:hint="eastAsia" w:cs="Times New Roman"/>
                <w:sz w:val="18"/>
                <w:szCs w:val="18"/>
              </w:rPr>
              <w:t>69</w:t>
            </w:r>
          </w:p>
        </w:tc>
        <w:tc>
          <w:tcPr>
            <w:tcW w:w="739"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征收</w:t>
            </w:r>
          </w:p>
        </w:tc>
        <w:tc>
          <w:tcPr>
            <w:tcW w:w="786" w:type="dxa"/>
            <w:vAlign w:val="center"/>
          </w:tcPr>
          <w:p>
            <w:pPr>
              <w:spacing w:line="240" w:lineRule="exact"/>
              <w:rPr>
                <w:rFonts w:cs="Times New Roman"/>
                <w:sz w:val="18"/>
                <w:szCs w:val="18"/>
              </w:rPr>
            </w:pPr>
            <w:r>
              <w:rPr>
                <w:rFonts w:cs="Times New Roman"/>
                <w:sz w:val="18"/>
                <w:szCs w:val="18"/>
              </w:rPr>
              <w:t>征收森林植被恢复费</w:t>
            </w:r>
          </w:p>
        </w:tc>
        <w:tc>
          <w:tcPr>
            <w:tcW w:w="751" w:type="dxa"/>
            <w:vAlign w:val="center"/>
          </w:tcPr>
          <w:p>
            <w:pPr>
              <w:spacing w:line="240" w:lineRule="exact"/>
              <w:rPr>
                <w:rFonts w:cs="Times New Roman"/>
                <w:sz w:val="18"/>
                <w:szCs w:val="18"/>
              </w:rPr>
            </w:pPr>
            <w:r>
              <w:rPr>
                <w:rFonts w:cs="Times New Roman"/>
                <w:sz w:val="18"/>
                <w:szCs w:val="18"/>
              </w:rPr>
              <w:t>　</w:t>
            </w:r>
          </w:p>
        </w:tc>
        <w:tc>
          <w:tcPr>
            <w:tcW w:w="3535" w:type="dxa"/>
            <w:vAlign w:val="center"/>
          </w:tcPr>
          <w:p>
            <w:pPr>
              <w:spacing w:line="240" w:lineRule="exact"/>
              <w:ind w:firstLine="360" w:firstLineChars="200"/>
              <w:rPr>
                <w:rFonts w:cs="Times New Roman"/>
                <w:sz w:val="18"/>
                <w:szCs w:val="18"/>
              </w:rPr>
            </w:pPr>
            <w:r>
              <w:rPr>
                <w:rFonts w:cs="Times New Roman"/>
                <w:sz w:val="18"/>
                <w:szCs w:val="18"/>
              </w:rPr>
              <w:t>【法律】《中华人民共和国森林法》（1984年9月20日主席令第十七号公布，2009年8月27日</w:t>
            </w:r>
            <w:r>
              <w:rPr>
                <w:rFonts w:hint="eastAsia" w:cs="Times New Roman"/>
                <w:sz w:val="18"/>
                <w:szCs w:val="18"/>
              </w:rPr>
              <w:t>主席令第十八号第二次</w:t>
            </w:r>
            <w:r>
              <w:rPr>
                <w:rFonts w:cs="Times New Roman"/>
                <w:sz w:val="18"/>
                <w:szCs w:val="18"/>
              </w:rPr>
              <w:t>修改)第十八条进行勘查、开采矿藏和各项建设工程，应当不占或者少占林地；必须占用或者征收、征用林地的，经县级以上人民政府林业主管部门审核同意后，依照有关土地管理的法律、法规办理建设用地审批手续，并由用地单位依照国务院有关规定缴纳森林植被恢复费。森林植被恢复费专款专用，由林业主管部门依照有关规定统一安排植树造林，恢复森林植被，植树造林面积不得少于因占用、征收、征用林地而减少的森林植被面积。上级林业主管部门应当定期督促、检查下级林业主管部门组织植树造林、恢复森林植被的情况。</w:t>
            </w:r>
          </w:p>
        </w:tc>
        <w:tc>
          <w:tcPr>
            <w:tcW w:w="2691" w:type="dxa"/>
            <w:vAlign w:val="center"/>
          </w:tcPr>
          <w:p>
            <w:pPr>
              <w:spacing w:line="240" w:lineRule="exact"/>
              <w:rPr>
                <w:rFonts w:cs="Times New Roman"/>
                <w:sz w:val="18"/>
                <w:szCs w:val="18"/>
              </w:rPr>
            </w:pPr>
            <w:r>
              <w:rPr>
                <w:rFonts w:cs="Times New Roman"/>
                <w:b/>
                <w:bCs/>
                <w:sz w:val="18"/>
                <w:szCs w:val="18"/>
              </w:rPr>
              <w:t xml:space="preserve">    1.受理责任</w:t>
            </w:r>
            <w:r>
              <w:rPr>
                <w:rFonts w:cs="Times New Roman"/>
                <w:sz w:val="18"/>
                <w:szCs w:val="18"/>
              </w:rPr>
              <w:t>：公示告知征收森林植被恢复费的征收标准、金额计算方式、征收适用类型、征收方式以及其他应当公示的内容；</w:t>
            </w:r>
            <w:r>
              <w:rPr>
                <w:rFonts w:cs="Times New Roman"/>
                <w:sz w:val="18"/>
                <w:szCs w:val="18"/>
              </w:rPr>
              <w:br w:type="textWrapping"/>
            </w:r>
            <w:r>
              <w:rPr>
                <w:rFonts w:cs="Times New Roman"/>
                <w:b/>
                <w:bCs/>
                <w:sz w:val="18"/>
                <w:szCs w:val="18"/>
              </w:rPr>
              <w:t xml:space="preserve"> 2.审核责</w:t>
            </w:r>
            <w:r>
              <w:rPr>
                <w:rFonts w:cs="Times New Roman"/>
                <w:sz w:val="18"/>
                <w:szCs w:val="18"/>
              </w:rPr>
              <w:t>任：审核缴费人提供的森林植被恢复费申报信息的准确性。</w:t>
            </w:r>
            <w:r>
              <w:rPr>
                <w:rFonts w:cs="Times New Roman"/>
                <w:sz w:val="18"/>
                <w:szCs w:val="18"/>
              </w:rPr>
              <w:br w:type="textWrapping"/>
            </w:r>
            <w:r>
              <w:rPr>
                <w:rFonts w:cs="Times New Roman"/>
                <w:b/>
                <w:bCs/>
                <w:sz w:val="18"/>
                <w:szCs w:val="18"/>
              </w:rPr>
              <w:t xml:space="preserve"> 3.决定责任</w:t>
            </w:r>
            <w:r>
              <w:rPr>
                <w:rFonts w:cs="Times New Roman"/>
                <w:sz w:val="18"/>
                <w:szCs w:val="18"/>
              </w:rPr>
              <w:t>：做出审核决定，开具缴费凭证。</w:t>
            </w:r>
            <w:r>
              <w:rPr>
                <w:rFonts w:cs="Times New Roman"/>
                <w:sz w:val="18"/>
                <w:szCs w:val="18"/>
              </w:rPr>
              <w:br w:type="textWrapping"/>
            </w:r>
            <w:r>
              <w:rPr>
                <w:rFonts w:cs="Times New Roman"/>
                <w:b/>
                <w:bCs/>
                <w:sz w:val="18"/>
                <w:szCs w:val="18"/>
              </w:rPr>
              <w:t>4.缴库责任</w:t>
            </w:r>
            <w:r>
              <w:rPr>
                <w:rFonts w:cs="Times New Roman"/>
                <w:sz w:val="18"/>
                <w:szCs w:val="18"/>
              </w:rPr>
              <w:t>：按时按规定上缴国库。</w:t>
            </w:r>
            <w:r>
              <w:rPr>
                <w:rFonts w:cs="Times New Roman"/>
                <w:sz w:val="18"/>
                <w:szCs w:val="18"/>
              </w:rPr>
              <w:br w:type="textWrapping"/>
            </w:r>
            <w:r>
              <w:rPr>
                <w:rFonts w:cs="Times New Roman"/>
                <w:b/>
                <w:bCs/>
                <w:sz w:val="18"/>
                <w:szCs w:val="18"/>
              </w:rPr>
              <w:t>5.监管责任</w:t>
            </w:r>
            <w:r>
              <w:rPr>
                <w:rFonts w:cs="Times New Roman"/>
                <w:sz w:val="18"/>
                <w:szCs w:val="18"/>
              </w:rPr>
              <w:t>：（1）林业主管部门：监督森林植被恢复费的征收和使用情况，接受上级监督、检查；（2）财政、审计部门：监督森林植被恢复费的征收、使用和管理。</w:t>
            </w:r>
            <w:r>
              <w:rPr>
                <w:rFonts w:cs="Times New Roman"/>
                <w:sz w:val="18"/>
                <w:szCs w:val="18"/>
              </w:rPr>
              <w:br w:type="textWrapping"/>
            </w:r>
            <w:r>
              <w:rPr>
                <w:rFonts w:cs="Times New Roman"/>
                <w:b/>
                <w:bCs/>
                <w:sz w:val="18"/>
                <w:szCs w:val="18"/>
              </w:rPr>
              <w:t xml:space="preserve"> 6.其他法律法规规章文件规定应履行的责任</w:t>
            </w:r>
            <w:r>
              <w:rPr>
                <w:rFonts w:cs="Times New Roman"/>
                <w:sz w:val="18"/>
                <w:szCs w:val="18"/>
              </w:rPr>
              <w:t>。</w:t>
            </w:r>
          </w:p>
        </w:tc>
        <w:tc>
          <w:tcPr>
            <w:tcW w:w="6098" w:type="dxa"/>
            <w:vAlign w:val="center"/>
          </w:tcPr>
          <w:p>
            <w:pPr>
              <w:spacing w:line="240" w:lineRule="exact"/>
              <w:rPr>
                <w:rFonts w:cs="Times New Roman"/>
                <w:sz w:val="18"/>
                <w:szCs w:val="18"/>
              </w:rPr>
            </w:pPr>
            <w:r>
              <w:rPr>
                <w:rFonts w:cs="Times New Roman"/>
                <w:sz w:val="18"/>
                <w:szCs w:val="18"/>
              </w:rPr>
              <w:t xml:space="preserve">    1.【法律】《中华人民共和国森林法》（1984年9月20日主席令第十七号公布，2009年8月27日修改) 第十八条　进行勘查、开采矿藏和各项建设工程，应当不占或者少占林地；必须占用或者征用林地的，经县级以上人民政府林业主管部门审核同意后，依照有关土地管理的法律、法规办理建设用地审批手续，并由用地单位依照国务院有关规定缴纳森林植被恢复费。</w:t>
            </w:r>
            <w:r>
              <w:rPr>
                <w:rFonts w:cs="Times New Roman"/>
                <w:sz w:val="18"/>
                <w:szCs w:val="18"/>
              </w:rPr>
              <w:br w:type="textWrapping"/>
            </w:r>
            <w:r>
              <w:rPr>
                <w:rFonts w:cs="Times New Roman"/>
                <w:sz w:val="18"/>
                <w:szCs w:val="18"/>
              </w:rPr>
              <w:t xml:space="preserve">    2.【法规】《中华人民共和国森林法实施条例》（2016年2月6日国务院令第666号公布）第十六条勘查、开采矿藏和修建道路、水利、电力、通讯等工程，需要占用或者征收、征用林地的，用地单位应当向县级以上人民政府林业主管部门提出用地申请，经审核同意后，按照国家规定的标准预交森林植被恢复费。</w:t>
            </w:r>
            <w:r>
              <w:rPr>
                <w:rFonts w:cs="Times New Roman"/>
                <w:sz w:val="18"/>
                <w:szCs w:val="18"/>
              </w:rPr>
              <w:br w:type="textWrapping"/>
            </w:r>
            <w:r>
              <w:rPr>
                <w:rFonts w:cs="Times New Roman"/>
                <w:sz w:val="18"/>
                <w:szCs w:val="18"/>
              </w:rPr>
              <w:t xml:space="preserve">    3-1.【规范性文件】《财政部、国家林业局关于印发〈森林植被恢复费征收使用管理暂行办法〉的通知》（财综〔2002〕73号）第四条凡勘查、开采矿藏和修建道路、水利、电力、通讯等各项建设工程需要占用、征用或者临时占用林地，经县级以上林业主管部门审核同意或批准的，用地单位应当按照本实施办法规定向县级以上林业主管部门预缴森林植被恢复费。</w:t>
            </w:r>
            <w:r>
              <w:rPr>
                <w:rFonts w:cs="Times New Roman"/>
                <w:sz w:val="18"/>
                <w:szCs w:val="18"/>
              </w:rPr>
              <w:br w:type="textWrapping"/>
            </w:r>
            <w:r>
              <w:rPr>
                <w:rFonts w:cs="Times New Roman"/>
                <w:sz w:val="18"/>
                <w:szCs w:val="18"/>
              </w:rPr>
              <w:t xml:space="preserve">    3-2.【规范性文件】《财政部、国家林业局关于印发〈森林植被恢复费征收使用管理暂行办法〉的通知》（财综〔2002〕73号）第七条县级以上林业主管部门收取森林植被恢复费,按照财务隶属关系使用财政部和省、自治区、直辖市财政部门统一印制的政府性基金票据。</w:t>
            </w:r>
            <w:r>
              <w:rPr>
                <w:rFonts w:cs="Times New Roman"/>
                <w:sz w:val="18"/>
                <w:szCs w:val="18"/>
              </w:rPr>
              <w:br w:type="textWrapping"/>
            </w:r>
            <w:r>
              <w:rPr>
                <w:rFonts w:cs="Times New Roman"/>
                <w:sz w:val="18"/>
                <w:szCs w:val="18"/>
              </w:rPr>
              <w:t xml:space="preserve">    4.【规范性文件】《财政部、国家林业局关于印发〈森林植被恢复费征收使用管理暂行办法〉的通知》（财综〔2002〕73号）第八条县级以上林业主管部门收取的森林植被恢复费，按照预算收入级次上缴国库。(二)省、自治区、直辖市以下各级林业主管部门收取的森林植被恢复费，全额缴入同级地方国库。第九条森林植被恢复费实行就地缴库办法。县级以上林业主管部门收取森林植被恢复费后，自取得收入之日起3日内就地缴入同级国库。</w:t>
            </w:r>
            <w:r>
              <w:rPr>
                <w:rFonts w:cs="Times New Roman"/>
                <w:sz w:val="18"/>
                <w:szCs w:val="18"/>
              </w:rPr>
              <w:br w:type="textWrapping"/>
            </w:r>
            <w:r>
              <w:rPr>
                <w:rFonts w:cs="Times New Roman"/>
                <w:sz w:val="18"/>
                <w:szCs w:val="18"/>
              </w:rPr>
              <w:t xml:space="preserve">    5.【规范性文件】《关于印发广西壮族自治区森林植被恢复费征收使用管理实施办法的通知》（桂财综〔2003〕8号）第三条森林植被恢复费的征收、使用和管理应当接受财政、审计部门和上级林业主管部门的监督检查。</w:t>
            </w:r>
          </w:p>
        </w:tc>
        <w:tc>
          <w:tcPr>
            <w:tcW w:w="1557"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因不履行或不正确履行行政职责，有下列情形的行政机关及相关工作人员应承担相应的责任：</w:t>
            </w:r>
            <w:r>
              <w:rPr>
                <w:rFonts w:cs="Times New Roman"/>
                <w:sz w:val="18"/>
                <w:szCs w:val="18"/>
              </w:rPr>
              <w:br w:type="textWrapping"/>
            </w:r>
            <w:r>
              <w:rPr>
                <w:rFonts w:cs="Times New Roman"/>
                <w:sz w:val="18"/>
                <w:szCs w:val="18"/>
              </w:rPr>
              <w:t>1.违反规定多收、减收、免收、缓收的；</w:t>
            </w:r>
            <w:r>
              <w:rPr>
                <w:rFonts w:cs="Times New Roman"/>
                <w:sz w:val="18"/>
                <w:szCs w:val="18"/>
              </w:rPr>
              <w:br w:type="textWrapping"/>
            </w:r>
            <w:r>
              <w:rPr>
                <w:rFonts w:cs="Times New Roman"/>
                <w:sz w:val="18"/>
                <w:szCs w:val="18"/>
              </w:rPr>
              <w:t>2.隐瞒、截留、坐支、私分的；</w:t>
            </w:r>
            <w:r>
              <w:rPr>
                <w:rFonts w:cs="Times New Roman"/>
                <w:sz w:val="18"/>
                <w:szCs w:val="18"/>
              </w:rPr>
              <w:br w:type="textWrapping"/>
            </w:r>
            <w:r>
              <w:rPr>
                <w:rFonts w:cs="Times New Roman"/>
                <w:sz w:val="18"/>
                <w:szCs w:val="18"/>
              </w:rPr>
              <w:t>3.违反规定擅自开支的；</w:t>
            </w:r>
            <w:r>
              <w:rPr>
                <w:rFonts w:cs="Times New Roman"/>
                <w:sz w:val="18"/>
                <w:szCs w:val="18"/>
              </w:rPr>
              <w:br w:type="textWrapping"/>
            </w:r>
            <w:r>
              <w:rPr>
                <w:rFonts w:cs="Times New Roman"/>
                <w:sz w:val="18"/>
                <w:szCs w:val="18"/>
              </w:rPr>
              <w:t>4.其他违反法律法规规定的行为。</w:t>
            </w:r>
          </w:p>
        </w:tc>
        <w:tc>
          <w:tcPr>
            <w:tcW w:w="4675" w:type="dxa"/>
            <w:vAlign w:val="center"/>
          </w:tcPr>
          <w:p>
            <w:pPr>
              <w:spacing w:line="240" w:lineRule="exact"/>
              <w:rPr>
                <w:rFonts w:cs="Times New Roman"/>
                <w:sz w:val="18"/>
                <w:szCs w:val="18"/>
              </w:rPr>
            </w:pPr>
            <w:r>
              <w:rPr>
                <w:rFonts w:cs="Times New Roman"/>
                <w:sz w:val="18"/>
                <w:szCs w:val="18"/>
              </w:rPr>
              <w:t xml:space="preserve">    1.【规范性文件】《财政部、国家林业局关于印发〈森林植被恢复费征收使用管理暂行办法〉的通知》（财综〔2002〕73号）第十六条占用或者临时占用林地的单位和个人不按照本办法规定缴纳森林植被恢复费；县级以上林业主管部门违反本办法规定，多收、减收、免收、缓收，或者隐瞒、截留、挪用、坐收坐支森林植被恢复费，由上级或同级财政部门会同有关部门责令改正，并按照《国务院关于违反财政法规处罚的暂行规定》（国发[1987]58号）等有关法律、法规的规定进行处罚。</w:t>
            </w:r>
            <w:r>
              <w:rPr>
                <w:rFonts w:cs="Times New Roman"/>
                <w:sz w:val="18"/>
                <w:szCs w:val="18"/>
              </w:rPr>
              <w:br w:type="textWrapping"/>
            </w:r>
            <w:r>
              <w:rPr>
                <w:rFonts w:cs="Times New Roman"/>
                <w:sz w:val="18"/>
                <w:szCs w:val="18"/>
              </w:rPr>
              <w:t xml:space="preserve">    2.同1.</w:t>
            </w:r>
            <w:r>
              <w:rPr>
                <w:rFonts w:cs="Times New Roman"/>
                <w:sz w:val="18"/>
                <w:szCs w:val="18"/>
              </w:rPr>
              <w:br w:type="textWrapping"/>
            </w:r>
            <w:r>
              <w:rPr>
                <w:rFonts w:cs="Times New Roman"/>
                <w:sz w:val="18"/>
                <w:szCs w:val="18"/>
              </w:rPr>
              <w:t xml:space="preserve">    3.【规范性文件】《财政部、国家林业局关于印发〈森林植被恢复费征收使用管理暂行办法〉的通知》（财综〔2002〕73号）第十七条对违反第十六条规定行为中涉及有关部门或单位直接负责的主管人员和其他直接责任人员，按照《违反行政事业性收费和罚没收入收支两条线管理规定行政处分暂行规定》（国务院令第281号），给予行政处分；构成犯罪的，移交司法机关依法追究其刑事责任。</w:t>
            </w:r>
          </w:p>
        </w:tc>
        <w:tc>
          <w:tcPr>
            <w:tcW w:w="613"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9"/>
        <w:gridCol w:w="750"/>
        <w:gridCol w:w="824"/>
        <w:gridCol w:w="3885"/>
        <w:gridCol w:w="2264"/>
        <w:gridCol w:w="6093"/>
        <w:gridCol w:w="1556"/>
        <w:gridCol w:w="4670"/>
        <w:gridCol w:w="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09" w:type="dxa"/>
            <w:vAlign w:val="center"/>
          </w:tcPr>
          <w:p>
            <w:pPr>
              <w:spacing w:line="280" w:lineRule="exact"/>
              <w:jc w:val="center"/>
              <w:rPr>
                <w:rFonts w:cs="Times New Roman"/>
                <w:sz w:val="18"/>
                <w:szCs w:val="18"/>
              </w:rPr>
            </w:pPr>
            <w:r>
              <w:rPr>
                <w:rFonts w:cs="Times New Roman"/>
                <w:sz w:val="18"/>
                <w:szCs w:val="18"/>
              </w:rPr>
              <w:t>序号</w:t>
            </w:r>
          </w:p>
        </w:tc>
        <w:tc>
          <w:tcPr>
            <w:tcW w:w="719" w:type="dxa"/>
            <w:vAlign w:val="center"/>
          </w:tcPr>
          <w:p>
            <w:pPr>
              <w:spacing w:line="280" w:lineRule="exact"/>
              <w:jc w:val="center"/>
              <w:rPr>
                <w:rFonts w:cs="Times New Roman"/>
                <w:sz w:val="18"/>
                <w:szCs w:val="18"/>
              </w:rPr>
            </w:pPr>
            <w:r>
              <w:rPr>
                <w:rFonts w:cs="Times New Roman"/>
                <w:sz w:val="18"/>
                <w:szCs w:val="18"/>
              </w:rPr>
              <w:t>权力分类</w:t>
            </w:r>
          </w:p>
        </w:tc>
        <w:tc>
          <w:tcPr>
            <w:tcW w:w="750" w:type="dxa"/>
            <w:vAlign w:val="center"/>
          </w:tcPr>
          <w:p>
            <w:pPr>
              <w:spacing w:line="280" w:lineRule="exact"/>
              <w:jc w:val="center"/>
              <w:rPr>
                <w:rFonts w:cs="Times New Roman"/>
                <w:sz w:val="18"/>
                <w:szCs w:val="18"/>
              </w:rPr>
            </w:pPr>
            <w:r>
              <w:rPr>
                <w:rFonts w:cs="Times New Roman"/>
                <w:sz w:val="18"/>
                <w:szCs w:val="18"/>
              </w:rPr>
              <w:t>项目名称</w:t>
            </w:r>
          </w:p>
        </w:tc>
        <w:tc>
          <w:tcPr>
            <w:tcW w:w="824" w:type="dxa"/>
            <w:vAlign w:val="center"/>
          </w:tcPr>
          <w:p>
            <w:pPr>
              <w:spacing w:line="280" w:lineRule="exact"/>
              <w:jc w:val="center"/>
              <w:rPr>
                <w:rFonts w:cs="Times New Roman"/>
                <w:sz w:val="18"/>
                <w:szCs w:val="18"/>
              </w:rPr>
            </w:pPr>
            <w:r>
              <w:rPr>
                <w:rFonts w:cs="Times New Roman"/>
                <w:sz w:val="18"/>
                <w:szCs w:val="18"/>
              </w:rPr>
              <w:t>子项</w:t>
            </w:r>
          </w:p>
        </w:tc>
        <w:tc>
          <w:tcPr>
            <w:tcW w:w="3885" w:type="dxa"/>
            <w:vAlign w:val="center"/>
          </w:tcPr>
          <w:p>
            <w:pPr>
              <w:spacing w:line="280" w:lineRule="exact"/>
              <w:jc w:val="center"/>
              <w:rPr>
                <w:rFonts w:cs="Times New Roman"/>
                <w:sz w:val="18"/>
                <w:szCs w:val="18"/>
              </w:rPr>
            </w:pPr>
            <w:r>
              <w:rPr>
                <w:rFonts w:cs="Times New Roman"/>
                <w:sz w:val="18"/>
                <w:szCs w:val="18"/>
              </w:rPr>
              <w:t>实施依据</w:t>
            </w:r>
          </w:p>
        </w:tc>
        <w:tc>
          <w:tcPr>
            <w:tcW w:w="2264" w:type="dxa"/>
            <w:vAlign w:val="center"/>
          </w:tcPr>
          <w:p>
            <w:pPr>
              <w:spacing w:line="280" w:lineRule="exact"/>
              <w:jc w:val="center"/>
              <w:rPr>
                <w:rFonts w:cs="Times New Roman"/>
                <w:sz w:val="18"/>
                <w:szCs w:val="18"/>
              </w:rPr>
            </w:pPr>
            <w:r>
              <w:rPr>
                <w:rFonts w:cs="Times New Roman"/>
                <w:sz w:val="18"/>
                <w:szCs w:val="18"/>
              </w:rPr>
              <w:t>责任事项</w:t>
            </w:r>
          </w:p>
        </w:tc>
        <w:tc>
          <w:tcPr>
            <w:tcW w:w="6093" w:type="dxa"/>
            <w:vAlign w:val="center"/>
          </w:tcPr>
          <w:p>
            <w:pPr>
              <w:spacing w:line="280" w:lineRule="exact"/>
              <w:jc w:val="center"/>
              <w:rPr>
                <w:rFonts w:cs="Times New Roman"/>
                <w:sz w:val="18"/>
                <w:szCs w:val="18"/>
              </w:rPr>
            </w:pPr>
            <w:r>
              <w:rPr>
                <w:rFonts w:cs="Times New Roman"/>
                <w:sz w:val="18"/>
                <w:szCs w:val="18"/>
              </w:rPr>
              <w:t>责任事项依据</w:t>
            </w:r>
          </w:p>
        </w:tc>
        <w:tc>
          <w:tcPr>
            <w:tcW w:w="1556" w:type="dxa"/>
            <w:vAlign w:val="center"/>
          </w:tcPr>
          <w:p>
            <w:pPr>
              <w:spacing w:line="280" w:lineRule="exact"/>
              <w:jc w:val="center"/>
              <w:rPr>
                <w:rFonts w:cs="Times New Roman"/>
                <w:sz w:val="18"/>
                <w:szCs w:val="18"/>
              </w:rPr>
            </w:pPr>
            <w:r>
              <w:rPr>
                <w:rFonts w:cs="Times New Roman"/>
                <w:sz w:val="18"/>
                <w:szCs w:val="18"/>
              </w:rPr>
              <w:t>追责情形</w:t>
            </w:r>
          </w:p>
        </w:tc>
        <w:tc>
          <w:tcPr>
            <w:tcW w:w="4670" w:type="dxa"/>
            <w:vAlign w:val="center"/>
          </w:tcPr>
          <w:p>
            <w:pPr>
              <w:spacing w:line="280" w:lineRule="exact"/>
              <w:jc w:val="center"/>
              <w:rPr>
                <w:rFonts w:cs="Times New Roman"/>
                <w:sz w:val="18"/>
                <w:szCs w:val="18"/>
              </w:rPr>
            </w:pPr>
            <w:r>
              <w:rPr>
                <w:rFonts w:cs="Times New Roman"/>
                <w:sz w:val="18"/>
                <w:szCs w:val="18"/>
              </w:rPr>
              <w:t>追责依据</w:t>
            </w:r>
          </w:p>
        </w:tc>
        <w:tc>
          <w:tcPr>
            <w:tcW w:w="610"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0" w:hRule="atLeast"/>
          <w:jc w:val="center"/>
        </w:trPr>
        <w:tc>
          <w:tcPr>
            <w:tcW w:w="809" w:type="dxa"/>
            <w:vAlign w:val="center"/>
          </w:tcPr>
          <w:p>
            <w:pPr>
              <w:spacing w:line="240" w:lineRule="exact"/>
              <w:rPr>
                <w:rFonts w:cs="Times New Roman"/>
                <w:sz w:val="18"/>
                <w:szCs w:val="18"/>
              </w:rPr>
            </w:pPr>
            <w:r>
              <w:rPr>
                <w:rFonts w:hint="eastAsia" w:cs="Times New Roman"/>
                <w:sz w:val="18"/>
                <w:szCs w:val="18"/>
              </w:rPr>
              <w:t>70</w:t>
            </w:r>
          </w:p>
        </w:tc>
        <w:tc>
          <w:tcPr>
            <w:tcW w:w="719"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检查</w:t>
            </w:r>
          </w:p>
        </w:tc>
        <w:tc>
          <w:tcPr>
            <w:tcW w:w="750" w:type="dxa"/>
            <w:vAlign w:val="center"/>
          </w:tcPr>
          <w:p>
            <w:pPr>
              <w:spacing w:line="240" w:lineRule="exact"/>
              <w:rPr>
                <w:rFonts w:cs="Times New Roman"/>
                <w:sz w:val="18"/>
                <w:szCs w:val="18"/>
              </w:rPr>
            </w:pPr>
            <w:r>
              <w:rPr>
                <w:rFonts w:cs="Times New Roman"/>
                <w:sz w:val="18"/>
                <w:szCs w:val="18"/>
              </w:rPr>
              <w:t>木材运输监督检查</w:t>
            </w:r>
          </w:p>
        </w:tc>
        <w:tc>
          <w:tcPr>
            <w:tcW w:w="824" w:type="dxa"/>
            <w:vAlign w:val="center"/>
          </w:tcPr>
          <w:p>
            <w:pPr>
              <w:spacing w:line="240" w:lineRule="exact"/>
              <w:rPr>
                <w:rFonts w:cs="Times New Roman"/>
                <w:sz w:val="18"/>
                <w:szCs w:val="18"/>
              </w:rPr>
            </w:pPr>
            <w:r>
              <w:rPr>
                <w:rFonts w:cs="Times New Roman"/>
                <w:sz w:val="18"/>
                <w:szCs w:val="18"/>
              </w:rPr>
              <w:t>　</w:t>
            </w:r>
          </w:p>
        </w:tc>
        <w:tc>
          <w:tcPr>
            <w:tcW w:w="3885" w:type="dxa"/>
            <w:vAlign w:val="center"/>
          </w:tcPr>
          <w:p>
            <w:pPr>
              <w:spacing w:line="240" w:lineRule="exact"/>
              <w:ind w:firstLine="360" w:firstLineChars="200"/>
              <w:rPr>
                <w:rFonts w:cs="Times New Roman"/>
                <w:sz w:val="18"/>
                <w:szCs w:val="18"/>
              </w:rPr>
            </w:pPr>
            <w:r>
              <w:rPr>
                <w:rFonts w:cs="Times New Roman"/>
                <w:sz w:val="18"/>
                <w:szCs w:val="18"/>
              </w:rPr>
              <w:t>【法律】《中华人民共和国森林法》（1984年9月20日主席令第十七号公布，2009年8月27日</w:t>
            </w:r>
            <w:r>
              <w:rPr>
                <w:rFonts w:hint="eastAsia" w:cs="Times New Roman"/>
                <w:sz w:val="18"/>
                <w:szCs w:val="18"/>
              </w:rPr>
              <w:t>主席令第十八号第二次</w:t>
            </w:r>
            <w:r>
              <w:rPr>
                <w:rFonts w:cs="Times New Roman"/>
                <w:sz w:val="18"/>
                <w:szCs w:val="18"/>
              </w:rPr>
              <w:t>修改)第三十七条从林区运出木材，必须持有林业主管部门发给的运输证件，国家统一调拨的木材除外。依法取得采伐许可证后，按照许可证的规定采伐的木材，从林区运出时，林业主管部门应当发给运输证件。经省、自治区、直辖市人民政府批准，可以在林区设立木材检查站，负责检查木材运输。对未取得运输证件或者物资主管部门发给的调拨通知书运输木材的，木材检查站有权制止。</w:t>
            </w:r>
            <w:r>
              <w:rPr>
                <w:rFonts w:cs="Times New Roman"/>
                <w:sz w:val="18"/>
                <w:szCs w:val="18"/>
              </w:rPr>
              <w:br w:type="textWrapping"/>
            </w:r>
            <w:r>
              <w:rPr>
                <w:rFonts w:cs="Times New Roman"/>
                <w:sz w:val="18"/>
                <w:szCs w:val="18"/>
              </w:rPr>
              <w:t>【法规】《中华人民共和国森林法实施条例》(2000年1月29日国务院令第278号发布，2016年2月6日国务院令第666号第二次修订）第三十七条经省、自治区、直辖市人民政府批准在林区设立的木材检查站，负责检查木材运输；无证运输木材的，木材检查站应当予以制止，可以暂扣无证运输的木材，并立即报请县级以上人民政府林业主管部门依法处理。</w:t>
            </w:r>
            <w:r>
              <w:rPr>
                <w:rFonts w:cs="Times New Roman"/>
                <w:sz w:val="18"/>
                <w:szCs w:val="18"/>
              </w:rPr>
              <w:br w:type="textWrapping"/>
            </w:r>
            <w:r>
              <w:rPr>
                <w:rFonts w:cs="Times New Roman"/>
                <w:sz w:val="18"/>
                <w:szCs w:val="18"/>
              </w:rPr>
              <w:t>【法规】《广西壮族自治区实施＜中华人民共和国森林法＞办法》（2006年9月29日广西第十届人大常委会第二十二次会议通过，2014年5月30日修正）第三十七条经自治区人民政府批准设立的木材检查站，负责查验木材和国家、自治区保护的陆生野生动物、植物以及其他林产品运输证件和森林植物检疫证件。</w:t>
            </w:r>
          </w:p>
        </w:tc>
        <w:tc>
          <w:tcPr>
            <w:tcW w:w="2264" w:type="dxa"/>
            <w:vAlign w:val="center"/>
          </w:tcPr>
          <w:p>
            <w:pPr>
              <w:spacing w:line="240" w:lineRule="exact"/>
              <w:rPr>
                <w:rFonts w:cs="Times New Roman"/>
                <w:sz w:val="18"/>
                <w:szCs w:val="18"/>
              </w:rPr>
            </w:pPr>
            <w:r>
              <w:rPr>
                <w:rFonts w:cs="Times New Roman"/>
                <w:b/>
                <w:bCs/>
                <w:sz w:val="18"/>
                <w:szCs w:val="18"/>
              </w:rPr>
              <w:br w:type="textWrapping"/>
            </w:r>
            <w:r>
              <w:rPr>
                <w:rFonts w:cs="Times New Roman"/>
                <w:b/>
                <w:bCs/>
                <w:sz w:val="18"/>
                <w:szCs w:val="18"/>
              </w:rPr>
              <w:t xml:space="preserve">    1.检查责任</w:t>
            </w:r>
            <w:r>
              <w:rPr>
                <w:rFonts w:cs="Times New Roman"/>
                <w:sz w:val="18"/>
                <w:szCs w:val="18"/>
              </w:rPr>
              <w:t>：对辖区内运输木材情况依法进行检查；检查人员应为2人以上</w:t>
            </w:r>
            <w:r>
              <w:rPr>
                <w:rFonts w:cs="Times New Roman"/>
                <w:sz w:val="18"/>
                <w:szCs w:val="18"/>
              </w:rPr>
              <w:br w:type="textWrapping"/>
            </w:r>
            <w:r>
              <w:rPr>
                <w:rFonts w:cs="Times New Roman"/>
                <w:b/>
                <w:bCs/>
                <w:sz w:val="18"/>
                <w:szCs w:val="18"/>
              </w:rPr>
              <w:t>2.处理责任</w:t>
            </w:r>
            <w:r>
              <w:rPr>
                <w:rFonts w:cs="Times New Roman"/>
                <w:sz w:val="18"/>
                <w:szCs w:val="18"/>
              </w:rPr>
              <w:t>：对合法在木材运输证上加盖“验讫”章放行；对发现违法运输木材的行为，依法暂扣，按权限进行行政处罚，等。</w:t>
            </w:r>
            <w:r>
              <w:rPr>
                <w:rFonts w:cs="Times New Roman"/>
                <w:sz w:val="18"/>
                <w:szCs w:val="18"/>
              </w:rPr>
              <w:br w:type="textWrapping"/>
            </w:r>
            <w:r>
              <w:rPr>
                <w:rFonts w:cs="Times New Roman"/>
                <w:b/>
                <w:bCs/>
                <w:sz w:val="18"/>
                <w:szCs w:val="18"/>
              </w:rPr>
              <w:t>3.监管责任</w:t>
            </w:r>
            <w:r>
              <w:rPr>
                <w:rFonts w:cs="Times New Roman"/>
                <w:sz w:val="18"/>
                <w:szCs w:val="18"/>
              </w:rPr>
              <w:t>：依法加强对木材运输的监督检查</w:t>
            </w:r>
            <w:r>
              <w:rPr>
                <w:rFonts w:cs="Times New Roman"/>
                <w:sz w:val="18"/>
                <w:szCs w:val="18"/>
              </w:rPr>
              <w:br w:type="textWrapping"/>
            </w:r>
            <w:r>
              <w:rPr>
                <w:rFonts w:cs="Times New Roman"/>
                <w:b/>
                <w:bCs/>
                <w:sz w:val="18"/>
                <w:szCs w:val="18"/>
              </w:rPr>
              <w:t>4.其他法律法规规章文件等规定应履行的责任</w:t>
            </w:r>
            <w:r>
              <w:rPr>
                <w:rFonts w:cs="Times New Roman"/>
                <w:sz w:val="18"/>
                <w:szCs w:val="18"/>
              </w:rPr>
              <w:t>。</w:t>
            </w:r>
          </w:p>
        </w:tc>
        <w:tc>
          <w:tcPr>
            <w:tcW w:w="6093" w:type="dxa"/>
            <w:vAlign w:val="center"/>
          </w:tcPr>
          <w:p>
            <w:pPr>
              <w:spacing w:line="240" w:lineRule="exact"/>
              <w:rPr>
                <w:rFonts w:cs="Times New Roman"/>
                <w:sz w:val="18"/>
                <w:szCs w:val="18"/>
              </w:rPr>
            </w:pPr>
            <w:r>
              <w:rPr>
                <w:rFonts w:cs="Times New Roman"/>
                <w:sz w:val="18"/>
                <w:szCs w:val="18"/>
              </w:rPr>
              <w:t xml:space="preserve">    1.【法规】《广西壮族自治区木材运输管理条例》（1997年7月25日公布施行，2012年3月23日第</w:t>
            </w:r>
            <w:r>
              <w:rPr>
                <w:rFonts w:hint="eastAsia" w:cs="Times New Roman"/>
                <w:sz w:val="18"/>
                <w:szCs w:val="18"/>
              </w:rPr>
              <w:t>二</w:t>
            </w:r>
            <w:r>
              <w:rPr>
                <w:rFonts w:cs="Times New Roman"/>
                <w:sz w:val="18"/>
                <w:szCs w:val="18"/>
              </w:rPr>
              <w:t>次修正）第十八条林业主管部门及其木材检查站在进行检查时，执法人员不得少于两人，并必须佩戴检查标志和出示由自治区人民政府林业主管部门统一核发的检查证件。</w:t>
            </w:r>
            <w:r>
              <w:rPr>
                <w:rFonts w:cs="Times New Roman"/>
                <w:sz w:val="18"/>
                <w:szCs w:val="18"/>
              </w:rPr>
              <w:br w:type="textWrapping"/>
            </w:r>
            <w:r>
              <w:rPr>
                <w:rFonts w:cs="Times New Roman"/>
                <w:sz w:val="18"/>
                <w:szCs w:val="18"/>
              </w:rPr>
              <w:t xml:space="preserve">    2.【法规】《广西壮族自治区木材运输管理条例》（1997年7月25日公布施行，2012年3月23日第</w:t>
            </w:r>
            <w:r>
              <w:rPr>
                <w:rFonts w:hint="eastAsia" w:cs="Times New Roman"/>
                <w:sz w:val="18"/>
                <w:szCs w:val="18"/>
              </w:rPr>
              <w:t>二</w:t>
            </w:r>
            <w:r>
              <w:rPr>
                <w:rFonts w:cs="Times New Roman"/>
                <w:sz w:val="18"/>
                <w:szCs w:val="18"/>
              </w:rPr>
              <w:t>次修正）第十条公路、水路木材运输者应当接受沿途木材检查站的检查。经验证放行的，木材检查站应当在木材运输证上加盖“验讫”章，并注明检查的时间。第十二条县级以上人民政府林业主管部门或者其委托的木材检查站扣留木材，必须出具扣留凭证。对扣留的木材，属依法必须经过植物检疫的，应当移交植物检疫机构处理;对扣留的其他木材，未予没收的，应当及时放行。</w:t>
            </w:r>
            <w:r>
              <w:rPr>
                <w:rFonts w:cs="Times New Roman"/>
                <w:sz w:val="18"/>
                <w:szCs w:val="18"/>
              </w:rPr>
              <w:br w:type="textWrapping"/>
            </w:r>
            <w:r>
              <w:rPr>
                <w:rFonts w:cs="Times New Roman"/>
                <w:sz w:val="18"/>
                <w:szCs w:val="18"/>
              </w:rPr>
              <w:t xml:space="preserve">    3.【法律】《中华人民共和国森林法》（1984年9月20日主席令第十七号公布，2009年8月27日</w:t>
            </w:r>
            <w:r>
              <w:rPr>
                <w:rFonts w:hint="eastAsia" w:cs="Times New Roman"/>
                <w:sz w:val="18"/>
                <w:szCs w:val="18"/>
              </w:rPr>
              <w:t>主席令第十八号第二次</w:t>
            </w:r>
            <w:r>
              <w:rPr>
                <w:rFonts w:cs="Times New Roman"/>
                <w:sz w:val="18"/>
                <w:szCs w:val="18"/>
              </w:rPr>
              <w:t>修改)第三十七条第三款经省、自治区、直辖市人民政府批准，可以在林区设立木材检查站，负责检查木材运输。对未取得运输证件或者物资主管部门发给的调拨通知书运输木材的，木材检查站有权制止。</w:t>
            </w:r>
          </w:p>
        </w:tc>
        <w:tc>
          <w:tcPr>
            <w:tcW w:w="1556"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1.不履行或不正确履行职责，对检查工作不认真执行的；</w:t>
            </w:r>
            <w:r>
              <w:rPr>
                <w:rFonts w:cs="Times New Roman"/>
                <w:sz w:val="18"/>
                <w:szCs w:val="18"/>
              </w:rPr>
              <w:br w:type="textWrapping"/>
            </w:r>
            <w:r>
              <w:rPr>
                <w:rFonts w:cs="Times New Roman"/>
                <w:sz w:val="18"/>
                <w:szCs w:val="18"/>
              </w:rPr>
              <w:t>2.在监督检查中玩忽职守、徇私舞弊的；</w:t>
            </w:r>
            <w:r>
              <w:rPr>
                <w:rFonts w:cs="Times New Roman"/>
                <w:sz w:val="18"/>
                <w:szCs w:val="18"/>
              </w:rPr>
              <w:br w:type="textWrapping"/>
            </w:r>
            <w:r>
              <w:rPr>
                <w:rFonts w:cs="Times New Roman"/>
                <w:sz w:val="18"/>
                <w:szCs w:val="18"/>
              </w:rPr>
              <w:t>3.在监督检查中滥用职权，谋取不正当利益和发生腐败行为的；</w:t>
            </w:r>
            <w:r>
              <w:rPr>
                <w:rFonts w:cs="Times New Roman"/>
                <w:sz w:val="18"/>
                <w:szCs w:val="18"/>
              </w:rPr>
              <w:br w:type="textWrapping"/>
            </w:r>
            <w:r>
              <w:rPr>
                <w:rFonts w:cs="Times New Roman"/>
                <w:sz w:val="18"/>
                <w:szCs w:val="18"/>
              </w:rPr>
              <w:t>4.其他违反法律法规规章文件规定的行为。</w:t>
            </w:r>
          </w:p>
        </w:tc>
        <w:tc>
          <w:tcPr>
            <w:tcW w:w="4670" w:type="dxa"/>
            <w:vAlign w:val="center"/>
          </w:tcPr>
          <w:p>
            <w:pPr>
              <w:pStyle w:val="5"/>
              <w:shd w:val="clear" w:color="auto" w:fill="FFFFFF"/>
              <w:spacing w:before="0" w:beforeAutospacing="0" w:after="0" w:afterAutospacing="0"/>
              <w:jc w:val="both"/>
              <w:rPr>
                <w:rFonts w:cstheme="minorEastAsia"/>
                <w:sz w:val="18"/>
                <w:szCs w:val="18"/>
              </w:rPr>
            </w:pPr>
            <w:r>
              <w:rPr>
                <w:rFonts w:hint="eastAsia" w:cstheme="minorEastAsia"/>
                <w:sz w:val="18"/>
                <w:szCs w:val="18"/>
              </w:rPr>
              <w:t>1. 【法规】《广西壮族自治区行政过错责任追究办法》（2007年广西壮族自治区人民政府令第24号）第十一条 行政机关及其工作人员在实施行政监督检查过程中，有下列情形之一的，应当追究行政过错责任：</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（一）没有法定或者规定依据实施检查；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（二）没有具体理由、事项、内容、对象实施检查；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（三）放弃、推诿、拖延、拒绝履行检查职责；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（四）发现违法行为不依法制止、纠正；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（五）侵犯被检查对象合法权益；</w:t>
            </w:r>
          </w:p>
          <w:p>
            <w:pPr>
              <w:spacing w:line="240" w:lineRule="exact"/>
              <w:rPr>
                <w:rFonts w:cs="Times New Roman"/>
                <w:sz w:val="18"/>
                <w:szCs w:val="18"/>
              </w:rPr>
            </w:pPr>
            <w:r>
              <w:rPr>
                <w:rFonts w:hint="eastAsia" w:cs="Times New Roman"/>
                <w:sz w:val="18"/>
                <w:szCs w:val="18"/>
              </w:rPr>
              <w:t>2</w:t>
            </w:r>
            <w:r>
              <w:rPr>
                <w:rFonts w:cs="Times New Roman"/>
                <w:sz w:val="18"/>
                <w:szCs w:val="18"/>
              </w:rPr>
              <w:t>.【法规】《行政机关公务员处分条例》（2007年国务院令第495号）第二十条有下列行为之一的，给予记过、记大过处分；情节较重的，给予降级或者撤职处分；情节严重的，给予开除处分：（四）其他玩忽职守、贻误工作的行为。</w:t>
            </w:r>
            <w:r>
              <w:rPr>
                <w:rFonts w:cs="Times New Roman"/>
                <w:sz w:val="18"/>
                <w:szCs w:val="18"/>
              </w:rPr>
              <w:br w:type="textWrapping"/>
            </w:r>
            <w:r>
              <w:rPr>
                <w:rFonts w:hint="eastAsia" w:cs="Times New Roman"/>
                <w:sz w:val="18"/>
                <w:szCs w:val="18"/>
              </w:rPr>
              <w:t>3.</w:t>
            </w:r>
            <w:r>
              <w:rPr>
                <w:rFonts w:cs="Times New Roman"/>
                <w:sz w:val="18"/>
                <w:szCs w:val="18"/>
              </w:rPr>
              <w:t>【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10"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721"/>
        <w:gridCol w:w="771"/>
        <w:gridCol w:w="845"/>
        <w:gridCol w:w="3877"/>
        <w:gridCol w:w="2270"/>
        <w:gridCol w:w="6109"/>
        <w:gridCol w:w="1561"/>
        <w:gridCol w:w="4682"/>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92" w:type="dxa"/>
            <w:vAlign w:val="center"/>
          </w:tcPr>
          <w:p>
            <w:pPr>
              <w:spacing w:line="280" w:lineRule="exact"/>
              <w:jc w:val="center"/>
              <w:rPr>
                <w:rFonts w:cs="Times New Roman"/>
                <w:sz w:val="18"/>
                <w:szCs w:val="18"/>
              </w:rPr>
            </w:pPr>
            <w:r>
              <w:rPr>
                <w:rFonts w:cs="Times New Roman"/>
                <w:sz w:val="18"/>
                <w:szCs w:val="18"/>
              </w:rPr>
              <w:t>序号</w:t>
            </w:r>
          </w:p>
        </w:tc>
        <w:tc>
          <w:tcPr>
            <w:tcW w:w="721" w:type="dxa"/>
            <w:vAlign w:val="center"/>
          </w:tcPr>
          <w:p>
            <w:pPr>
              <w:spacing w:line="280" w:lineRule="exact"/>
              <w:jc w:val="center"/>
              <w:rPr>
                <w:rFonts w:cs="Times New Roman"/>
                <w:sz w:val="18"/>
                <w:szCs w:val="18"/>
              </w:rPr>
            </w:pPr>
            <w:r>
              <w:rPr>
                <w:rFonts w:cs="Times New Roman"/>
                <w:sz w:val="18"/>
                <w:szCs w:val="18"/>
              </w:rPr>
              <w:t>权力分类</w:t>
            </w:r>
          </w:p>
        </w:tc>
        <w:tc>
          <w:tcPr>
            <w:tcW w:w="771" w:type="dxa"/>
            <w:vAlign w:val="center"/>
          </w:tcPr>
          <w:p>
            <w:pPr>
              <w:spacing w:line="280" w:lineRule="exact"/>
              <w:jc w:val="center"/>
              <w:rPr>
                <w:rFonts w:cs="Times New Roman"/>
                <w:sz w:val="18"/>
                <w:szCs w:val="18"/>
              </w:rPr>
            </w:pPr>
            <w:r>
              <w:rPr>
                <w:rFonts w:cs="Times New Roman"/>
                <w:sz w:val="18"/>
                <w:szCs w:val="18"/>
              </w:rPr>
              <w:t>项目名称</w:t>
            </w:r>
          </w:p>
        </w:tc>
        <w:tc>
          <w:tcPr>
            <w:tcW w:w="845" w:type="dxa"/>
            <w:vAlign w:val="center"/>
          </w:tcPr>
          <w:p>
            <w:pPr>
              <w:spacing w:line="280" w:lineRule="exact"/>
              <w:jc w:val="center"/>
              <w:rPr>
                <w:rFonts w:cs="Times New Roman"/>
                <w:sz w:val="18"/>
                <w:szCs w:val="18"/>
              </w:rPr>
            </w:pPr>
            <w:r>
              <w:rPr>
                <w:rFonts w:cs="Times New Roman"/>
                <w:sz w:val="18"/>
                <w:szCs w:val="18"/>
              </w:rPr>
              <w:t>子项</w:t>
            </w:r>
          </w:p>
        </w:tc>
        <w:tc>
          <w:tcPr>
            <w:tcW w:w="3877" w:type="dxa"/>
            <w:vAlign w:val="center"/>
          </w:tcPr>
          <w:p>
            <w:pPr>
              <w:spacing w:line="280" w:lineRule="exact"/>
              <w:jc w:val="center"/>
              <w:rPr>
                <w:rFonts w:cs="Times New Roman"/>
                <w:sz w:val="18"/>
                <w:szCs w:val="18"/>
              </w:rPr>
            </w:pPr>
            <w:r>
              <w:rPr>
                <w:rFonts w:cs="Times New Roman"/>
                <w:sz w:val="18"/>
                <w:szCs w:val="18"/>
              </w:rPr>
              <w:t>实施依据</w:t>
            </w:r>
          </w:p>
        </w:tc>
        <w:tc>
          <w:tcPr>
            <w:tcW w:w="2270" w:type="dxa"/>
            <w:vAlign w:val="center"/>
          </w:tcPr>
          <w:p>
            <w:pPr>
              <w:spacing w:line="280" w:lineRule="exact"/>
              <w:jc w:val="center"/>
              <w:rPr>
                <w:rFonts w:cs="Times New Roman"/>
                <w:sz w:val="18"/>
                <w:szCs w:val="18"/>
              </w:rPr>
            </w:pPr>
            <w:r>
              <w:rPr>
                <w:rFonts w:cs="Times New Roman"/>
                <w:sz w:val="18"/>
                <w:szCs w:val="18"/>
              </w:rPr>
              <w:t>责任事项</w:t>
            </w:r>
          </w:p>
        </w:tc>
        <w:tc>
          <w:tcPr>
            <w:tcW w:w="6109" w:type="dxa"/>
            <w:vAlign w:val="center"/>
          </w:tcPr>
          <w:p>
            <w:pPr>
              <w:spacing w:line="280" w:lineRule="exact"/>
              <w:jc w:val="center"/>
              <w:rPr>
                <w:rFonts w:cs="Times New Roman"/>
                <w:sz w:val="18"/>
                <w:szCs w:val="18"/>
              </w:rPr>
            </w:pPr>
            <w:r>
              <w:rPr>
                <w:rFonts w:cs="Times New Roman"/>
                <w:sz w:val="18"/>
                <w:szCs w:val="18"/>
              </w:rPr>
              <w:t>责任事项依据</w:t>
            </w:r>
          </w:p>
        </w:tc>
        <w:tc>
          <w:tcPr>
            <w:tcW w:w="1561" w:type="dxa"/>
            <w:vAlign w:val="center"/>
          </w:tcPr>
          <w:p>
            <w:pPr>
              <w:spacing w:line="280" w:lineRule="exact"/>
              <w:jc w:val="center"/>
              <w:rPr>
                <w:rFonts w:cs="Times New Roman"/>
                <w:sz w:val="18"/>
                <w:szCs w:val="18"/>
              </w:rPr>
            </w:pPr>
            <w:r>
              <w:rPr>
                <w:rFonts w:cs="Times New Roman"/>
                <w:sz w:val="18"/>
                <w:szCs w:val="18"/>
              </w:rPr>
              <w:t>追责情形</w:t>
            </w:r>
          </w:p>
        </w:tc>
        <w:tc>
          <w:tcPr>
            <w:tcW w:w="4682"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3" w:hRule="atLeast"/>
          <w:jc w:val="center"/>
        </w:trPr>
        <w:tc>
          <w:tcPr>
            <w:tcW w:w="792" w:type="dxa"/>
            <w:vAlign w:val="center"/>
          </w:tcPr>
          <w:p>
            <w:pPr>
              <w:spacing w:line="240" w:lineRule="exact"/>
              <w:rPr>
                <w:rFonts w:cs="Times New Roman"/>
                <w:sz w:val="18"/>
                <w:szCs w:val="18"/>
              </w:rPr>
            </w:pPr>
            <w:r>
              <w:rPr>
                <w:rFonts w:hint="eastAsia" w:cs="Times New Roman"/>
                <w:sz w:val="18"/>
                <w:szCs w:val="18"/>
              </w:rPr>
              <w:t>71</w:t>
            </w:r>
          </w:p>
        </w:tc>
        <w:tc>
          <w:tcPr>
            <w:tcW w:w="72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检查</w:t>
            </w:r>
          </w:p>
        </w:tc>
        <w:tc>
          <w:tcPr>
            <w:tcW w:w="771" w:type="dxa"/>
            <w:vAlign w:val="center"/>
          </w:tcPr>
          <w:p>
            <w:pPr>
              <w:spacing w:line="240" w:lineRule="exact"/>
              <w:rPr>
                <w:rFonts w:cs="Times New Roman"/>
                <w:sz w:val="18"/>
                <w:szCs w:val="18"/>
              </w:rPr>
            </w:pPr>
            <w:r>
              <w:rPr>
                <w:rFonts w:cs="Times New Roman"/>
                <w:sz w:val="18"/>
                <w:szCs w:val="18"/>
              </w:rPr>
              <w:t>对陆生野生驯养繁殖、经营利用企业进行监督检查</w:t>
            </w:r>
          </w:p>
        </w:tc>
        <w:tc>
          <w:tcPr>
            <w:tcW w:w="845" w:type="dxa"/>
            <w:vAlign w:val="center"/>
          </w:tcPr>
          <w:p>
            <w:pPr>
              <w:spacing w:line="240" w:lineRule="exact"/>
              <w:rPr>
                <w:rFonts w:cs="Times New Roman"/>
                <w:sz w:val="18"/>
                <w:szCs w:val="18"/>
              </w:rPr>
            </w:pPr>
            <w:r>
              <w:rPr>
                <w:rFonts w:cs="Times New Roman"/>
                <w:sz w:val="18"/>
                <w:szCs w:val="18"/>
              </w:rPr>
              <w:t>　</w:t>
            </w:r>
          </w:p>
        </w:tc>
        <w:tc>
          <w:tcPr>
            <w:tcW w:w="3877" w:type="dxa"/>
            <w:vAlign w:val="center"/>
          </w:tcPr>
          <w:p>
            <w:pPr>
              <w:spacing w:line="240" w:lineRule="exact"/>
              <w:rPr>
                <w:rFonts w:cs="Times New Roman"/>
                <w:sz w:val="18"/>
                <w:szCs w:val="18"/>
              </w:rPr>
            </w:pPr>
            <w:r>
              <w:rPr>
                <w:rFonts w:cs="Times New Roman"/>
                <w:sz w:val="18"/>
                <w:szCs w:val="18"/>
              </w:rPr>
              <w:t>【法规】《中华人民共和国陆生野生动物保护实施条例》(1992年2月12日国务院批准，1992年3月1日林业部令第29号发布，2016年2月6日国务院令第666号修改）第二十七条　县级以上各级人民政府野生动物行政主管部门和工商行政管理部门，应当对野生动物或者其产品的经营利用建立监督检查制度，加强对经营利用野生动物或者其产品的监督管理。</w:t>
            </w:r>
          </w:p>
        </w:tc>
        <w:tc>
          <w:tcPr>
            <w:tcW w:w="2270" w:type="dxa"/>
            <w:vAlign w:val="center"/>
          </w:tcPr>
          <w:p>
            <w:pPr>
              <w:spacing w:line="240" w:lineRule="exact"/>
              <w:rPr>
                <w:rFonts w:cs="Times New Roman"/>
                <w:sz w:val="18"/>
                <w:szCs w:val="18"/>
              </w:rPr>
            </w:pPr>
            <w:r>
              <w:rPr>
                <w:rFonts w:cs="Times New Roman"/>
                <w:b/>
                <w:bCs/>
                <w:sz w:val="18"/>
                <w:szCs w:val="18"/>
              </w:rPr>
              <w:br w:type="textWrapping"/>
            </w:r>
            <w:r>
              <w:rPr>
                <w:rFonts w:cs="Times New Roman"/>
                <w:b/>
                <w:bCs/>
                <w:sz w:val="18"/>
                <w:szCs w:val="18"/>
              </w:rPr>
              <w:t xml:space="preserve">    1.公示责任</w:t>
            </w:r>
            <w:r>
              <w:rPr>
                <w:rFonts w:cs="Times New Roman"/>
                <w:sz w:val="18"/>
                <w:szCs w:val="18"/>
              </w:rPr>
              <w:t>：公布本单位随机抽查事项清单、抽查内容、抽查方式等；</w:t>
            </w:r>
            <w:r>
              <w:rPr>
                <w:rFonts w:cs="Times New Roman"/>
                <w:sz w:val="18"/>
                <w:szCs w:val="18"/>
              </w:rPr>
              <w:br w:type="textWrapping"/>
            </w:r>
            <w:r>
              <w:rPr>
                <w:rFonts w:cs="Times New Roman"/>
                <w:b/>
                <w:bCs/>
                <w:sz w:val="18"/>
                <w:szCs w:val="18"/>
              </w:rPr>
              <w:t>2.检查责任</w:t>
            </w:r>
            <w:r>
              <w:rPr>
                <w:rFonts w:cs="Times New Roman"/>
                <w:sz w:val="18"/>
                <w:szCs w:val="18"/>
              </w:rPr>
              <w:t>：合理确定检查频率，对重点对象加大检查力度等。</w:t>
            </w:r>
            <w:r>
              <w:rPr>
                <w:rFonts w:cs="Times New Roman"/>
                <w:sz w:val="18"/>
                <w:szCs w:val="18"/>
              </w:rPr>
              <w:br w:type="textWrapping"/>
            </w:r>
            <w:r>
              <w:rPr>
                <w:rFonts w:cs="Times New Roman"/>
                <w:b/>
                <w:bCs/>
                <w:sz w:val="18"/>
                <w:szCs w:val="18"/>
              </w:rPr>
              <w:t>3.处理责任</w:t>
            </w:r>
            <w:r>
              <w:rPr>
                <w:rFonts w:cs="Times New Roman"/>
                <w:sz w:val="18"/>
                <w:szCs w:val="18"/>
              </w:rPr>
              <w:t>：对检查中发现的问题，提出整改措施，制作下发整改通知书或执法建议书；有违法情况需要作出处罚的，依法进行处罚。</w:t>
            </w:r>
            <w:r>
              <w:rPr>
                <w:rFonts w:cs="Times New Roman"/>
                <w:sz w:val="18"/>
                <w:szCs w:val="18"/>
              </w:rPr>
              <w:br w:type="textWrapping"/>
            </w:r>
            <w:r>
              <w:rPr>
                <w:rFonts w:cs="Times New Roman"/>
                <w:b/>
                <w:bCs/>
                <w:sz w:val="18"/>
                <w:szCs w:val="18"/>
              </w:rPr>
              <w:t>4.监管责任</w:t>
            </w:r>
            <w:r>
              <w:rPr>
                <w:rFonts w:cs="Times New Roman"/>
                <w:sz w:val="18"/>
                <w:szCs w:val="18"/>
              </w:rPr>
              <w:t>：依法加强对驯养繁殖野生动物企业的监管。</w:t>
            </w:r>
            <w:r>
              <w:rPr>
                <w:rFonts w:cs="Times New Roman"/>
                <w:sz w:val="18"/>
                <w:szCs w:val="18"/>
              </w:rPr>
              <w:br w:type="textWrapping"/>
            </w:r>
            <w:r>
              <w:rPr>
                <w:rFonts w:cs="Times New Roman"/>
                <w:b/>
                <w:bCs/>
                <w:sz w:val="18"/>
                <w:szCs w:val="18"/>
              </w:rPr>
              <w:t>5.其他法律法规规章文件规定应履行的责任</w:t>
            </w:r>
            <w:r>
              <w:rPr>
                <w:rFonts w:cs="Times New Roman"/>
                <w:sz w:val="18"/>
                <w:szCs w:val="18"/>
              </w:rPr>
              <w:t>。</w:t>
            </w:r>
          </w:p>
        </w:tc>
        <w:tc>
          <w:tcPr>
            <w:tcW w:w="6109" w:type="dxa"/>
            <w:vAlign w:val="center"/>
          </w:tcPr>
          <w:p>
            <w:pPr>
              <w:spacing w:line="240" w:lineRule="exact"/>
              <w:rPr>
                <w:rFonts w:cs="Times New Roman"/>
                <w:sz w:val="18"/>
                <w:szCs w:val="18"/>
              </w:rPr>
            </w:pPr>
            <w:r>
              <w:rPr>
                <w:rFonts w:cs="Times New Roman"/>
                <w:sz w:val="18"/>
                <w:szCs w:val="18"/>
              </w:rPr>
              <w:t xml:space="preserve">    1.【规范性文件】《国务院办公厅关于推广随机抽查规范事中事后监管的通知》（国办发〔2015〕58号）</w:t>
            </w:r>
            <w:r>
              <w:rPr>
                <w:rFonts w:hint="eastAsia" w:cs="Times New Roman"/>
                <w:sz w:val="18"/>
                <w:szCs w:val="18"/>
              </w:rPr>
              <w:t xml:space="preserve">二 </w:t>
            </w:r>
            <w:r>
              <w:rPr>
                <w:rFonts w:cs="Times New Roman"/>
                <w:sz w:val="18"/>
                <w:szCs w:val="18"/>
              </w:rPr>
              <w:t>大力推广随机抽查监管（一）制定随机抽查事项清单……要制定随机抽查事项清单，明确抽查依据、抽查主体、抽查内容、抽查方式等。随机抽查事项清单根据法律法规规章修订情况和工作实际进行动态调整，及时向社会公布。</w:t>
            </w:r>
            <w:r>
              <w:rPr>
                <w:rFonts w:cs="Times New Roman"/>
                <w:sz w:val="18"/>
                <w:szCs w:val="18"/>
              </w:rPr>
              <w:br w:type="textWrapping"/>
            </w:r>
            <w:r>
              <w:rPr>
                <w:rFonts w:cs="Times New Roman"/>
                <w:sz w:val="18"/>
                <w:szCs w:val="18"/>
              </w:rPr>
              <w:t xml:space="preserve">    2.【规范性文件】《国务院办公厅关于推广随机抽查规范事中事后监管的通知》（国办发〔2015〕58号）</w:t>
            </w:r>
            <w:r>
              <w:rPr>
                <w:rFonts w:hint="eastAsia" w:cs="Times New Roman"/>
                <w:sz w:val="18"/>
                <w:szCs w:val="18"/>
              </w:rPr>
              <w:t>二</w:t>
            </w:r>
            <w:r>
              <w:rPr>
                <w:rFonts w:cs="Times New Roman"/>
                <w:sz w:val="18"/>
                <w:szCs w:val="18"/>
              </w:rPr>
              <w:t>（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cs="Times New Roman"/>
                <w:sz w:val="18"/>
                <w:szCs w:val="18"/>
              </w:rPr>
              <w:br w:type="textWrapping"/>
            </w:r>
            <w:r>
              <w:rPr>
                <w:rFonts w:cs="Times New Roman"/>
                <w:sz w:val="18"/>
                <w:szCs w:val="18"/>
              </w:rPr>
              <w:t xml:space="preserve">    3.【法规】《中华人民共和国陆生野生动物保护实施条例》(1992年2月12日国务院批准，1992年3月1日林业部令第29号发布，2016年2月6日国务院令第666号修改）第三十九条　违反野生动物保护法规，未取得驯养繁殖许可证或者超越驯养繁殖许可证规定范围驯养繁殖国家重点保护野生动物的，由野生动物行政主管部门没收违法所得，处3000元以下罚款，可以并处没收野生动物、吊销驯养繁殖许可证。</w:t>
            </w:r>
            <w:r>
              <w:rPr>
                <w:rFonts w:cs="Times New Roman"/>
                <w:sz w:val="18"/>
                <w:szCs w:val="18"/>
              </w:rPr>
              <w:br w:type="textWrapping"/>
            </w:r>
            <w:r>
              <w:rPr>
                <w:rFonts w:cs="Times New Roman"/>
                <w:sz w:val="18"/>
                <w:szCs w:val="18"/>
              </w:rPr>
              <w:t xml:space="preserve">    4.【法规】《中华人民共和国陆生野生动物保护实施条例》(1992年2月12日国务院批准，1992年3月1日林业部令第29号发布，2016年2月6日国务院令第666号修改）第二十七条　县级以上各级人民政府野生动物行政主管部门和工商行政管理部门，应当对野生动物或者其产品的经营利用建立监督检查制度，加强对经营利用野生动物或者其产品的监督管理。</w:t>
            </w:r>
          </w:p>
        </w:tc>
        <w:tc>
          <w:tcPr>
            <w:tcW w:w="156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1.不履行或不正确履行职责，对检查工作不认真执行的；</w:t>
            </w:r>
            <w:r>
              <w:rPr>
                <w:rFonts w:cs="Times New Roman"/>
                <w:sz w:val="18"/>
                <w:szCs w:val="18"/>
              </w:rPr>
              <w:br w:type="textWrapping"/>
            </w:r>
            <w:r>
              <w:rPr>
                <w:rFonts w:cs="Times New Roman"/>
                <w:sz w:val="18"/>
                <w:szCs w:val="18"/>
              </w:rPr>
              <w:t>2.在监督检查中玩忽职守、徇私舞弊的；</w:t>
            </w:r>
            <w:r>
              <w:rPr>
                <w:rFonts w:cs="Times New Roman"/>
                <w:sz w:val="18"/>
                <w:szCs w:val="18"/>
              </w:rPr>
              <w:br w:type="textWrapping"/>
            </w:r>
            <w:r>
              <w:rPr>
                <w:rFonts w:cs="Times New Roman"/>
                <w:sz w:val="18"/>
                <w:szCs w:val="18"/>
              </w:rPr>
              <w:t>3.在监督检查中滥用职权，谋取不正当利益和发生腐败行为的；</w:t>
            </w:r>
            <w:r>
              <w:rPr>
                <w:rFonts w:cs="Times New Roman"/>
                <w:sz w:val="18"/>
                <w:szCs w:val="18"/>
              </w:rPr>
              <w:br w:type="textWrapping"/>
            </w:r>
            <w:r>
              <w:rPr>
                <w:rFonts w:cs="Times New Roman"/>
                <w:sz w:val="18"/>
                <w:szCs w:val="18"/>
              </w:rPr>
              <w:t>4.其他违反法律法规规章文件规定的行为。</w:t>
            </w:r>
          </w:p>
        </w:tc>
        <w:tc>
          <w:tcPr>
            <w:tcW w:w="4682" w:type="dxa"/>
            <w:vAlign w:val="center"/>
          </w:tcPr>
          <w:p>
            <w:pPr>
              <w:pStyle w:val="5"/>
              <w:shd w:val="clear" w:color="auto" w:fill="FFFFFF"/>
              <w:spacing w:before="0" w:beforeAutospacing="0" w:after="0" w:afterAutospacing="0"/>
              <w:jc w:val="both"/>
              <w:rPr>
                <w:rFonts w:cstheme="minorEastAsia"/>
                <w:sz w:val="18"/>
                <w:szCs w:val="18"/>
              </w:rPr>
            </w:pPr>
            <w:r>
              <w:rPr>
                <w:rFonts w:hint="eastAsia" w:cstheme="minorEastAsia"/>
                <w:sz w:val="18"/>
                <w:szCs w:val="18"/>
              </w:rPr>
              <w:t>1. 【法规】《广西壮族自治区行政过错责任追究办法》（2007年广西壮族自治区人民政府令第24号）第十一条 行政机关及其工作人员在实施行政监督检查过程中，有下列情形之一的，应当追究行政过错责任：</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（一）没有法定或者规定依据实施检查；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（二）没有具体理由、事项、内容、对象实施检查；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（三）放弃、推诿、拖延、拒绝履行检查职责；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（四）发现违法行为不依法制止、纠正；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（五）侵犯被检查对象合法权益；</w:t>
            </w:r>
          </w:p>
          <w:p>
            <w:pPr>
              <w:spacing w:line="240" w:lineRule="exact"/>
              <w:rPr>
                <w:rFonts w:cs="Times New Roman"/>
                <w:sz w:val="18"/>
                <w:szCs w:val="18"/>
              </w:rPr>
            </w:pPr>
            <w:r>
              <w:rPr>
                <w:rFonts w:hint="eastAsia" w:cs="Times New Roman"/>
                <w:sz w:val="18"/>
                <w:szCs w:val="18"/>
              </w:rPr>
              <w:t>2</w:t>
            </w:r>
            <w:r>
              <w:rPr>
                <w:rFonts w:cs="Times New Roman"/>
                <w:sz w:val="18"/>
                <w:szCs w:val="18"/>
              </w:rPr>
              <w:t>.【法规】《行政机关公务员处分条例》（2007年国务院令第495号）第二十条有下列行为之一的，给予记过、记大过处分；情节较重的，给予降级或者撤职处分；情节严重的，给予开除处分：（四）其他玩忽职守、贻误工作的行为。</w:t>
            </w:r>
            <w:r>
              <w:rPr>
                <w:rFonts w:cs="Times New Roman"/>
                <w:sz w:val="18"/>
                <w:szCs w:val="18"/>
              </w:rPr>
              <w:br w:type="textWrapping"/>
            </w:r>
            <w:r>
              <w:rPr>
                <w:rFonts w:hint="eastAsia" w:cs="Times New Roman"/>
                <w:sz w:val="18"/>
                <w:szCs w:val="18"/>
              </w:rPr>
              <w:t>3.</w:t>
            </w:r>
            <w:r>
              <w:rPr>
                <w:rFonts w:cs="Times New Roman"/>
                <w:sz w:val="18"/>
                <w:szCs w:val="18"/>
              </w:rPr>
              <w:t>【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12"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1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699"/>
        <w:gridCol w:w="747"/>
        <w:gridCol w:w="875"/>
        <w:gridCol w:w="3703"/>
        <w:gridCol w:w="2201"/>
        <w:gridCol w:w="5922"/>
        <w:gridCol w:w="1513"/>
        <w:gridCol w:w="4539"/>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68" w:type="dxa"/>
            <w:vAlign w:val="center"/>
          </w:tcPr>
          <w:p>
            <w:pPr>
              <w:spacing w:line="280" w:lineRule="exact"/>
              <w:jc w:val="center"/>
              <w:rPr>
                <w:rFonts w:cs="Times New Roman"/>
                <w:sz w:val="18"/>
                <w:szCs w:val="18"/>
              </w:rPr>
            </w:pPr>
            <w:r>
              <w:rPr>
                <w:rFonts w:cs="Times New Roman"/>
                <w:sz w:val="18"/>
                <w:szCs w:val="18"/>
              </w:rPr>
              <w:t>序号</w:t>
            </w:r>
          </w:p>
        </w:tc>
        <w:tc>
          <w:tcPr>
            <w:tcW w:w="699" w:type="dxa"/>
            <w:vAlign w:val="center"/>
          </w:tcPr>
          <w:p>
            <w:pPr>
              <w:spacing w:line="280" w:lineRule="exact"/>
              <w:jc w:val="center"/>
              <w:rPr>
                <w:rFonts w:cs="Times New Roman"/>
                <w:sz w:val="18"/>
                <w:szCs w:val="18"/>
              </w:rPr>
            </w:pPr>
            <w:r>
              <w:rPr>
                <w:rFonts w:cs="Times New Roman"/>
                <w:sz w:val="18"/>
                <w:szCs w:val="18"/>
              </w:rPr>
              <w:t>权力分类</w:t>
            </w:r>
          </w:p>
        </w:tc>
        <w:tc>
          <w:tcPr>
            <w:tcW w:w="747" w:type="dxa"/>
            <w:vAlign w:val="center"/>
          </w:tcPr>
          <w:p>
            <w:pPr>
              <w:spacing w:line="280" w:lineRule="exact"/>
              <w:jc w:val="center"/>
              <w:rPr>
                <w:rFonts w:cs="Times New Roman"/>
                <w:sz w:val="18"/>
                <w:szCs w:val="18"/>
              </w:rPr>
            </w:pPr>
            <w:r>
              <w:rPr>
                <w:rFonts w:cs="Times New Roman"/>
                <w:sz w:val="18"/>
                <w:szCs w:val="18"/>
              </w:rPr>
              <w:t>项目名称</w:t>
            </w:r>
          </w:p>
        </w:tc>
        <w:tc>
          <w:tcPr>
            <w:tcW w:w="875" w:type="dxa"/>
            <w:vAlign w:val="center"/>
          </w:tcPr>
          <w:p>
            <w:pPr>
              <w:spacing w:line="280" w:lineRule="exact"/>
              <w:jc w:val="center"/>
              <w:rPr>
                <w:rFonts w:cs="Times New Roman"/>
                <w:sz w:val="18"/>
                <w:szCs w:val="18"/>
              </w:rPr>
            </w:pPr>
            <w:r>
              <w:rPr>
                <w:rFonts w:cs="Times New Roman"/>
                <w:sz w:val="18"/>
                <w:szCs w:val="18"/>
              </w:rPr>
              <w:t>子项</w:t>
            </w:r>
          </w:p>
        </w:tc>
        <w:tc>
          <w:tcPr>
            <w:tcW w:w="3703" w:type="dxa"/>
            <w:vAlign w:val="center"/>
          </w:tcPr>
          <w:p>
            <w:pPr>
              <w:spacing w:line="280" w:lineRule="exact"/>
              <w:jc w:val="center"/>
              <w:rPr>
                <w:rFonts w:cs="Times New Roman"/>
                <w:sz w:val="18"/>
                <w:szCs w:val="18"/>
              </w:rPr>
            </w:pPr>
            <w:r>
              <w:rPr>
                <w:rFonts w:cs="Times New Roman"/>
                <w:sz w:val="18"/>
                <w:szCs w:val="18"/>
              </w:rPr>
              <w:t>实施依据</w:t>
            </w:r>
          </w:p>
        </w:tc>
        <w:tc>
          <w:tcPr>
            <w:tcW w:w="2201" w:type="dxa"/>
            <w:vAlign w:val="center"/>
          </w:tcPr>
          <w:p>
            <w:pPr>
              <w:spacing w:line="280" w:lineRule="exact"/>
              <w:jc w:val="center"/>
              <w:rPr>
                <w:rFonts w:cs="Times New Roman"/>
                <w:sz w:val="18"/>
                <w:szCs w:val="18"/>
              </w:rPr>
            </w:pPr>
            <w:r>
              <w:rPr>
                <w:rFonts w:cs="Times New Roman"/>
                <w:sz w:val="18"/>
                <w:szCs w:val="18"/>
              </w:rPr>
              <w:t>责任事项</w:t>
            </w:r>
          </w:p>
        </w:tc>
        <w:tc>
          <w:tcPr>
            <w:tcW w:w="5922" w:type="dxa"/>
            <w:vAlign w:val="center"/>
          </w:tcPr>
          <w:p>
            <w:pPr>
              <w:spacing w:line="280" w:lineRule="exact"/>
              <w:jc w:val="center"/>
              <w:rPr>
                <w:rFonts w:cs="Times New Roman"/>
                <w:sz w:val="18"/>
                <w:szCs w:val="18"/>
              </w:rPr>
            </w:pPr>
            <w:r>
              <w:rPr>
                <w:rFonts w:cs="Times New Roman"/>
                <w:sz w:val="18"/>
                <w:szCs w:val="18"/>
              </w:rPr>
              <w:t>责任事项依据</w:t>
            </w:r>
          </w:p>
        </w:tc>
        <w:tc>
          <w:tcPr>
            <w:tcW w:w="1513" w:type="dxa"/>
            <w:vAlign w:val="center"/>
          </w:tcPr>
          <w:p>
            <w:pPr>
              <w:spacing w:line="280" w:lineRule="exact"/>
              <w:jc w:val="center"/>
              <w:rPr>
                <w:rFonts w:cs="Times New Roman"/>
                <w:sz w:val="18"/>
                <w:szCs w:val="18"/>
              </w:rPr>
            </w:pPr>
            <w:r>
              <w:rPr>
                <w:rFonts w:cs="Times New Roman"/>
                <w:sz w:val="18"/>
                <w:szCs w:val="18"/>
              </w:rPr>
              <w:t>追责情形</w:t>
            </w:r>
          </w:p>
        </w:tc>
        <w:tc>
          <w:tcPr>
            <w:tcW w:w="4539" w:type="dxa"/>
            <w:vAlign w:val="center"/>
          </w:tcPr>
          <w:p>
            <w:pPr>
              <w:spacing w:line="280" w:lineRule="exact"/>
              <w:jc w:val="center"/>
              <w:rPr>
                <w:rFonts w:cs="Times New Roman"/>
                <w:sz w:val="18"/>
                <w:szCs w:val="18"/>
              </w:rPr>
            </w:pPr>
            <w:r>
              <w:rPr>
                <w:rFonts w:cs="Times New Roman"/>
                <w:sz w:val="18"/>
                <w:szCs w:val="18"/>
              </w:rPr>
              <w:t>追责依据</w:t>
            </w:r>
          </w:p>
        </w:tc>
        <w:tc>
          <w:tcPr>
            <w:tcW w:w="593"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6" w:hRule="atLeast"/>
          <w:jc w:val="center"/>
        </w:trPr>
        <w:tc>
          <w:tcPr>
            <w:tcW w:w="768" w:type="dxa"/>
            <w:vAlign w:val="center"/>
          </w:tcPr>
          <w:p>
            <w:pPr>
              <w:spacing w:line="240" w:lineRule="exact"/>
              <w:rPr>
                <w:rFonts w:cs="Times New Roman"/>
                <w:sz w:val="18"/>
                <w:szCs w:val="18"/>
              </w:rPr>
            </w:pPr>
            <w:r>
              <w:rPr>
                <w:rFonts w:hint="eastAsia" w:cs="Times New Roman"/>
                <w:sz w:val="18"/>
                <w:szCs w:val="18"/>
              </w:rPr>
              <w:t>72</w:t>
            </w:r>
          </w:p>
        </w:tc>
        <w:tc>
          <w:tcPr>
            <w:tcW w:w="699"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检查</w:t>
            </w:r>
          </w:p>
        </w:tc>
        <w:tc>
          <w:tcPr>
            <w:tcW w:w="747" w:type="dxa"/>
            <w:vAlign w:val="center"/>
          </w:tcPr>
          <w:p>
            <w:pPr>
              <w:spacing w:line="240" w:lineRule="exact"/>
              <w:rPr>
                <w:rFonts w:cs="Times New Roman"/>
                <w:sz w:val="18"/>
                <w:szCs w:val="18"/>
              </w:rPr>
            </w:pPr>
            <w:r>
              <w:rPr>
                <w:rFonts w:cs="Times New Roman"/>
                <w:sz w:val="18"/>
                <w:szCs w:val="18"/>
              </w:rPr>
              <w:t>对野生动物保护法律、法规实施情况监督检查</w:t>
            </w:r>
          </w:p>
        </w:tc>
        <w:tc>
          <w:tcPr>
            <w:tcW w:w="875" w:type="dxa"/>
            <w:vAlign w:val="center"/>
          </w:tcPr>
          <w:p>
            <w:pPr>
              <w:spacing w:line="240" w:lineRule="exact"/>
              <w:rPr>
                <w:rFonts w:cs="Times New Roman"/>
                <w:sz w:val="18"/>
                <w:szCs w:val="18"/>
              </w:rPr>
            </w:pPr>
            <w:r>
              <w:rPr>
                <w:rFonts w:cs="Times New Roman"/>
                <w:sz w:val="18"/>
                <w:szCs w:val="18"/>
              </w:rPr>
              <w:t>　</w:t>
            </w:r>
          </w:p>
        </w:tc>
        <w:tc>
          <w:tcPr>
            <w:tcW w:w="3703" w:type="dxa"/>
            <w:vAlign w:val="center"/>
          </w:tcPr>
          <w:p>
            <w:pPr>
              <w:spacing w:line="240" w:lineRule="exact"/>
              <w:ind w:firstLine="360" w:firstLineChars="200"/>
              <w:rPr>
                <w:rFonts w:cs="Times New Roman"/>
                <w:sz w:val="18"/>
                <w:szCs w:val="18"/>
              </w:rPr>
            </w:pPr>
            <w:r>
              <w:rPr>
                <w:rFonts w:cs="Times New Roman"/>
                <w:sz w:val="18"/>
                <w:szCs w:val="18"/>
              </w:rPr>
              <w:t>【法规】《中华人民共和国陆生野生动物保护实施条例》(1992年2月12日国务院批准，1992年3月1日林业部令第29号发布，2016年2月6日国务院令第666号修改）第五条野生动物行政主管部门有权对《野生动物保护法》和本条例的实施情况进行监督检查，被检查的单位和个人应当给予配合。</w:t>
            </w:r>
          </w:p>
        </w:tc>
        <w:tc>
          <w:tcPr>
            <w:tcW w:w="2201" w:type="dxa"/>
            <w:vAlign w:val="center"/>
          </w:tcPr>
          <w:p>
            <w:pPr>
              <w:spacing w:line="240" w:lineRule="exact"/>
              <w:rPr>
                <w:rFonts w:cs="Times New Roman"/>
                <w:sz w:val="18"/>
                <w:szCs w:val="18"/>
              </w:rPr>
            </w:pPr>
            <w:r>
              <w:rPr>
                <w:rFonts w:cs="Times New Roman"/>
                <w:b/>
                <w:bCs/>
                <w:sz w:val="18"/>
                <w:szCs w:val="18"/>
              </w:rPr>
              <w:br w:type="textWrapping"/>
            </w:r>
            <w:r>
              <w:rPr>
                <w:rFonts w:cs="Times New Roman"/>
                <w:b/>
                <w:bCs/>
                <w:sz w:val="18"/>
                <w:szCs w:val="18"/>
              </w:rPr>
              <w:t xml:space="preserve">    1.检查责任</w:t>
            </w:r>
            <w:r>
              <w:rPr>
                <w:rFonts w:cs="Times New Roman"/>
                <w:sz w:val="18"/>
                <w:szCs w:val="18"/>
              </w:rPr>
              <w:t>：定期或不定期根据实际工作需要，对《中华人民共和国野生动物保护法》、《中华人民共和国陆生野生动物保护实施条例》的实施情况开展监督检查。</w:t>
            </w:r>
            <w:r>
              <w:rPr>
                <w:rFonts w:cs="Times New Roman"/>
                <w:sz w:val="18"/>
                <w:szCs w:val="18"/>
              </w:rPr>
              <w:br w:type="textWrapping"/>
            </w:r>
            <w:r>
              <w:rPr>
                <w:rFonts w:cs="Times New Roman"/>
                <w:b/>
                <w:bCs/>
                <w:sz w:val="18"/>
                <w:szCs w:val="18"/>
              </w:rPr>
              <w:t>2.处理责任</w:t>
            </w:r>
            <w:r>
              <w:rPr>
                <w:rFonts w:cs="Times New Roman"/>
                <w:sz w:val="18"/>
                <w:szCs w:val="18"/>
              </w:rPr>
              <w:t>：对违法行为作出整改、督促查处决定。</w:t>
            </w:r>
            <w:r>
              <w:rPr>
                <w:rFonts w:cs="Times New Roman"/>
                <w:sz w:val="18"/>
                <w:szCs w:val="18"/>
              </w:rPr>
              <w:br w:type="textWrapping"/>
            </w:r>
            <w:r>
              <w:rPr>
                <w:rFonts w:cs="Times New Roman"/>
                <w:b/>
                <w:bCs/>
                <w:sz w:val="18"/>
                <w:szCs w:val="18"/>
              </w:rPr>
              <w:t>3.监管责任</w:t>
            </w:r>
            <w:r>
              <w:rPr>
                <w:rFonts w:cs="Times New Roman"/>
                <w:sz w:val="18"/>
                <w:szCs w:val="18"/>
              </w:rPr>
              <w:t>：对监督检查情况进行汇总、分析、归档备查，并跟踪整改情况，加强监管。</w:t>
            </w:r>
            <w:r>
              <w:rPr>
                <w:rFonts w:cs="Times New Roman"/>
                <w:sz w:val="18"/>
                <w:szCs w:val="18"/>
              </w:rPr>
              <w:br w:type="textWrapping"/>
            </w:r>
            <w:r>
              <w:rPr>
                <w:rFonts w:cs="Times New Roman"/>
                <w:b/>
                <w:bCs/>
                <w:sz w:val="18"/>
                <w:szCs w:val="18"/>
              </w:rPr>
              <w:t>4.其他法律法规规章文件等规定应履行的责任</w:t>
            </w:r>
            <w:r>
              <w:rPr>
                <w:rFonts w:cs="Times New Roman"/>
                <w:sz w:val="18"/>
                <w:szCs w:val="18"/>
              </w:rPr>
              <w:t>。</w:t>
            </w:r>
          </w:p>
        </w:tc>
        <w:tc>
          <w:tcPr>
            <w:tcW w:w="5922" w:type="dxa"/>
            <w:vAlign w:val="center"/>
          </w:tcPr>
          <w:p>
            <w:pPr>
              <w:spacing w:line="240" w:lineRule="exact"/>
              <w:rPr>
                <w:rFonts w:cs="Times New Roman"/>
                <w:sz w:val="18"/>
                <w:szCs w:val="18"/>
              </w:rPr>
            </w:pPr>
            <w:r>
              <w:rPr>
                <w:rFonts w:cs="Times New Roman"/>
                <w:sz w:val="18"/>
                <w:szCs w:val="18"/>
              </w:rPr>
              <w:t xml:space="preserve">    1.【法规】《广西壮族自治区陆生野生动物保护管理规定》( 1994年7月29日广西壮族自治区八届人大常委会第10次会议通过，2012年3月23日第四次修正）第十五条　经自治区人民政府批准设立的木材检查站和经县级以上人民政府批准设立的野生动物保护站、自然保护区管理站，有权查验运输、携带、销售的陆生野生动物及其产品。第二十二条林业行政主管部门或者工商行政管理部门在进行监督检查时，执法人员不得少于两人，并应当向当事人或者有关人员出示行政执法证件；不出示行政执法证件的，被检查的单位和个人有权拒绝检查。</w:t>
            </w:r>
            <w:r>
              <w:rPr>
                <w:rFonts w:cs="Times New Roman"/>
                <w:sz w:val="18"/>
                <w:szCs w:val="18"/>
              </w:rPr>
              <w:br w:type="textWrapping"/>
            </w:r>
            <w:r>
              <w:rPr>
                <w:rFonts w:cs="Times New Roman"/>
                <w:sz w:val="18"/>
                <w:szCs w:val="18"/>
              </w:rPr>
              <w:t xml:space="preserve">    2.【法规】《广西壮族自治区陆生野生动物保护管理规定》( 1994年7月29日广西壮族自治区八届人大常委会第10次会议通过，2012年3月23日第四次修正）第二十条　林业行政主管部门或者工商行政管理部门监督检查违反陆生野生动物保护管理法规的行为时，有下列职权：（一）按照规定程序询问违法的行为人、利害关系人、证明人，制作询问笔录，并要求提供证明材料；（二）调查违法行为的有关情况；（三）查阅、复制与违法行为有关的合同、发票、帐单、记录及其他资料；（四）可以查封、扣留违法经营的陆生野生动物及其产品、违法行为使用的物品及工具、与违法行为有关的合同、发票、帐单、记录及其他资料。</w:t>
            </w:r>
            <w:r>
              <w:rPr>
                <w:rFonts w:cs="Times New Roman"/>
                <w:sz w:val="18"/>
                <w:szCs w:val="18"/>
              </w:rPr>
              <w:br w:type="textWrapping"/>
            </w:r>
            <w:r>
              <w:rPr>
                <w:rFonts w:cs="Times New Roman"/>
                <w:sz w:val="18"/>
                <w:szCs w:val="18"/>
              </w:rPr>
              <w:t xml:space="preserve">    3.【法规】《中华人民共和国陆生野生动物保护实施条例》(1992年2月12日国务院批准，1992年3月1日林业部令第29号发布，2016年2月6日国务院令第666号修改）第二十七条　县级以上各级人民政府野生动物行政主管部门和工商行政管理部门，应当对野生动物或者其产品的经营利用建立监督检查制度，加强对经营利用野生动物或者其产品的监督管理。</w:t>
            </w:r>
          </w:p>
        </w:tc>
        <w:tc>
          <w:tcPr>
            <w:tcW w:w="1513"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1.不履行或不正确履行职责，对检查工作不认真执行的；</w:t>
            </w:r>
            <w:r>
              <w:rPr>
                <w:rFonts w:cs="Times New Roman"/>
                <w:sz w:val="18"/>
                <w:szCs w:val="18"/>
              </w:rPr>
              <w:br w:type="textWrapping"/>
            </w:r>
            <w:r>
              <w:rPr>
                <w:rFonts w:cs="Times New Roman"/>
                <w:sz w:val="18"/>
                <w:szCs w:val="18"/>
              </w:rPr>
              <w:t>2.在监督检查中玩忽职守、徇私舞弊的；</w:t>
            </w:r>
            <w:r>
              <w:rPr>
                <w:rFonts w:cs="Times New Roman"/>
                <w:sz w:val="18"/>
                <w:szCs w:val="18"/>
              </w:rPr>
              <w:br w:type="textWrapping"/>
            </w:r>
            <w:r>
              <w:rPr>
                <w:rFonts w:cs="Times New Roman"/>
                <w:sz w:val="18"/>
                <w:szCs w:val="18"/>
              </w:rPr>
              <w:t>3.在监督检查中滥用职权，谋取不正当利益和发生腐败行为的；</w:t>
            </w:r>
            <w:r>
              <w:rPr>
                <w:rFonts w:cs="Times New Roman"/>
                <w:sz w:val="18"/>
                <w:szCs w:val="18"/>
              </w:rPr>
              <w:br w:type="textWrapping"/>
            </w:r>
            <w:r>
              <w:rPr>
                <w:rFonts w:cs="Times New Roman"/>
                <w:sz w:val="18"/>
                <w:szCs w:val="18"/>
              </w:rPr>
              <w:t>4.其他违反法律法规规章文件规定的行为。</w:t>
            </w:r>
          </w:p>
        </w:tc>
        <w:tc>
          <w:tcPr>
            <w:tcW w:w="4539" w:type="dxa"/>
            <w:vAlign w:val="center"/>
          </w:tcPr>
          <w:p>
            <w:pPr>
              <w:pStyle w:val="5"/>
              <w:shd w:val="clear" w:color="auto" w:fill="FFFFFF"/>
              <w:spacing w:before="0" w:beforeAutospacing="0" w:after="0" w:afterAutospacing="0"/>
              <w:jc w:val="both"/>
              <w:rPr>
                <w:rFonts w:cstheme="minorEastAsia"/>
                <w:sz w:val="18"/>
                <w:szCs w:val="18"/>
              </w:rPr>
            </w:pPr>
            <w:r>
              <w:rPr>
                <w:rFonts w:hint="eastAsia" w:cstheme="minorEastAsia"/>
                <w:sz w:val="18"/>
                <w:szCs w:val="18"/>
              </w:rPr>
              <w:t>1. 【法规】《广西壮族自治区行政过错责任追究办法》（2007年广西壮族自治区人民政府令第24号）第十一条 行政机关及其工作人员在实施行政监督检查过程中，有下列情形之一的，应当追究行政过错责任：</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（一）没有法定或者规定依据实施检查；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（二）没有具体理由、事项、内容、对象实施检查；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（三）放弃、推诿、拖延、拒绝履行检查职责；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（四）发现违法行为不依法制止、纠正；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（五）侵犯被检查对象合法权益；</w:t>
            </w:r>
          </w:p>
          <w:p>
            <w:pPr>
              <w:spacing w:line="240" w:lineRule="exact"/>
              <w:rPr>
                <w:rFonts w:cs="Times New Roman"/>
                <w:sz w:val="18"/>
                <w:szCs w:val="18"/>
              </w:rPr>
            </w:pPr>
            <w:r>
              <w:rPr>
                <w:rFonts w:hint="eastAsia" w:cs="Times New Roman"/>
                <w:sz w:val="18"/>
                <w:szCs w:val="18"/>
              </w:rPr>
              <w:t>2</w:t>
            </w:r>
            <w:r>
              <w:rPr>
                <w:rFonts w:cs="Times New Roman"/>
                <w:sz w:val="18"/>
                <w:szCs w:val="18"/>
              </w:rPr>
              <w:t>.【法规】《行政机关公务员处分条例》（2007年国务院令第495号）第二十条有下列行为之一的，给予记过、记大过处分；情节较重的，给予降级或者撤职处分；情节严重的，给予开除处分：（四）其他玩忽职守、贻误工作的行为。</w:t>
            </w:r>
            <w:r>
              <w:rPr>
                <w:rFonts w:cs="Times New Roman"/>
                <w:sz w:val="18"/>
                <w:szCs w:val="18"/>
              </w:rPr>
              <w:br w:type="textWrapping"/>
            </w:r>
            <w:r>
              <w:rPr>
                <w:rFonts w:hint="eastAsia" w:cs="Times New Roman"/>
                <w:sz w:val="18"/>
                <w:szCs w:val="18"/>
              </w:rPr>
              <w:t>3.</w:t>
            </w:r>
            <w:r>
              <w:rPr>
                <w:rFonts w:cs="Times New Roman"/>
                <w:sz w:val="18"/>
                <w:szCs w:val="18"/>
              </w:rPr>
              <w:t>【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93"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697"/>
        <w:gridCol w:w="859"/>
        <w:gridCol w:w="1026"/>
        <w:gridCol w:w="3657"/>
        <w:gridCol w:w="2252"/>
        <w:gridCol w:w="6060"/>
        <w:gridCol w:w="1548"/>
        <w:gridCol w:w="4644"/>
        <w:gridCol w:w="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710" w:type="dxa"/>
            <w:vAlign w:val="center"/>
          </w:tcPr>
          <w:p>
            <w:pPr>
              <w:spacing w:line="280" w:lineRule="exact"/>
              <w:jc w:val="center"/>
              <w:rPr>
                <w:rFonts w:cs="Times New Roman"/>
                <w:sz w:val="18"/>
                <w:szCs w:val="18"/>
              </w:rPr>
            </w:pPr>
            <w:r>
              <w:rPr>
                <w:rFonts w:cs="Times New Roman"/>
                <w:sz w:val="18"/>
                <w:szCs w:val="18"/>
              </w:rPr>
              <w:t>序号</w:t>
            </w:r>
          </w:p>
        </w:tc>
        <w:tc>
          <w:tcPr>
            <w:tcW w:w="697" w:type="dxa"/>
            <w:vAlign w:val="center"/>
          </w:tcPr>
          <w:p>
            <w:pPr>
              <w:spacing w:line="280" w:lineRule="exact"/>
              <w:jc w:val="center"/>
              <w:rPr>
                <w:rFonts w:cs="Times New Roman"/>
                <w:sz w:val="18"/>
                <w:szCs w:val="18"/>
              </w:rPr>
            </w:pPr>
            <w:r>
              <w:rPr>
                <w:rFonts w:cs="Times New Roman"/>
                <w:sz w:val="18"/>
                <w:szCs w:val="18"/>
              </w:rPr>
              <w:t>权力分类</w:t>
            </w:r>
          </w:p>
        </w:tc>
        <w:tc>
          <w:tcPr>
            <w:tcW w:w="859" w:type="dxa"/>
            <w:vAlign w:val="center"/>
          </w:tcPr>
          <w:p>
            <w:pPr>
              <w:spacing w:line="280" w:lineRule="exact"/>
              <w:jc w:val="center"/>
              <w:rPr>
                <w:rFonts w:cs="Times New Roman"/>
                <w:sz w:val="18"/>
                <w:szCs w:val="18"/>
              </w:rPr>
            </w:pPr>
            <w:r>
              <w:rPr>
                <w:rFonts w:cs="Times New Roman"/>
                <w:sz w:val="18"/>
                <w:szCs w:val="18"/>
              </w:rPr>
              <w:t>项目名称</w:t>
            </w:r>
          </w:p>
        </w:tc>
        <w:tc>
          <w:tcPr>
            <w:tcW w:w="1026" w:type="dxa"/>
            <w:vAlign w:val="center"/>
          </w:tcPr>
          <w:p>
            <w:pPr>
              <w:spacing w:line="280" w:lineRule="exact"/>
              <w:jc w:val="center"/>
              <w:rPr>
                <w:rFonts w:cs="Times New Roman"/>
                <w:sz w:val="18"/>
                <w:szCs w:val="18"/>
              </w:rPr>
            </w:pPr>
            <w:r>
              <w:rPr>
                <w:rFonts w:cs="Times New Roman"/>
                <w:sz w:val="18"/>
                <w:szCs w:val="18"/>
              </w:rPr>
              <w:t>子项</w:t>
            </w:r>
          </w:p>
        </w:tc>
        <w:tc>
          <w:tcPr>
            <w:tcW w:w="3657" w:type="dxa"/>
            <w:vAlign w:val="center"/>
          </w:tcPr>
          <w:p>
            <w:pPr>
              <w:spacing w:line="280" w:lineRule="exact"/>
              <w:jc w:val="center"/>
              <w:rPr>
                <w:rFonts w:cs="Times New Roman"/>
                <w:sz w:val="18"/>
                <w:szCs w:val="18"/>
              </w:rPr>
            </w:pPr>
            <w:r>
              <w:rPr>
                <w:rFonts w:cs="Times New Roman"/>
                <w:sz w:val="18"/>
                <w:szCs w:val="18"/>
              </w:rPr>
              <w:t>实施依据</w:t>
            </w:r>
          </w:p>
        </w:tc>
        <w:tc>
          <w:tcPr>
            <w:tcW w:w="2252" w:type="dxa"/>
            <w:vAlign w:val="center"/>
          </w:tcPr>
          <w:p>
            <w:pPr>
              <w:spacing w:line="280" w:lineRule="exact"/>
              <w:jc w:val="center"/>
              <w:rPr>
                <w:rFonts w:cs="Times New Roman"/>
                <w:sz w:val="18"/>
                <w:szCs w:val="18"/>
              </w:rPr>
            </w:pPr>
            <w:r>
              <w:rPr>
                <w:rFonts w:cs="Times New Roman"/>
                <w:sz w:val="18"/>
                <w:szCs w:val="18"/>
              </w:rPr>
              <w:t>责任事项</w:t>
            </w:r>
          </w:p>
        </w:tc>
        <w:tc>
          <w:tcPr>
            <w:tcW w:w="6060" w:type="dxa"/>
            <w:vAlign w:val="center"/>
          </w:tcPr>
          <w:p>
            <w:pPr>
              <w:spacing w:line="280" w:lineRule="exact"/>
              <w:jc w:val="center"/>
              <w:rPr>
                <w:rFonts w:cs="Times New Roman"/>
                <w:sz w:val="18"/>
                <w:szCs w:val="18"/>
              </w:rPr>
            </w:pPr>
            <w:r>
              <w:rPr>
                <w:rFonts w:cs="Times New Roman"/>
                <w:sz w:val="18"/>
                <w:szCs w:val="18"/>
              </w:rPr>
              <w:t>责任事项依据</w:t>
            </w:r>
          </w:p>
        </w:tc>
        <w:tc>
          <w:tcPr>
            <w:tcW w:w="1548" w:type="dxa"/>
            <w:vAlign w:val="center"/>
          </w:tcPr>
          <w:p>
            <w:pPr>
              <w:spacing w:line="280" w:lineRule="exact"/>
              <w:jc w:val="center"/>
              <w:rPr>
                <w:rFonts w:cs="Times New Roman"/>
                <w:sz w:val="18"/>
                <w:szCs w:val="18"/>
              </w:rPr>
            </w:pPr>
            <w:r>
              <w:rPr>
                <w:rFonts w:cs="Times New Roman"/>
                <w:sz w:val="18"/>
                <w:szCs w:val="18"/>
              </w:rPr>
              <w:t>追责情形</w:t>
            </w:r>
          </w:p>
        </w:tc>
        <w:tc>
          <w:tcPr>
            <w:tcW w:w="4644" w:type="dxa"/>
            <w:vAlign w:val="center"/>
          </w:tcPr>
          <w:p>
            <w:pPr>
              <w:spacing w:line="280" w:lineRule="exact"/>
              <w:jc w:val="center"/>
              <w:rPr>
                <w:rFonts w:cs="Times New Roman"/>
                <w:sz w:val="18"/>
                <w:szCs w:val="18"/>
              </w:rPr>
            </w:pPr>
            <w:r>
              <w:rPr>
                <w:rFonts w:cs="Times New Roman"/>
                <w:sz w:val="18"/>
                <w:szCs w:val="18"/>
              </w:rPr>
              <w:t>追责依据</w:t>
            </w:r>
          </w:p>
        </w:tc>
        <w:tc>
          <w:tcPr>
            <w:tcW w:w="607"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8" w:hRule="atLeast"/>
          <w:jc w:val="center"/>
        </w:trPr>
        <w:tc>
          <w:tcPr>
            <w:tcW w:w="710" w:type="dxa"/>
            <w:vAlign w:val="center"/>
          </w:tcPr>
          <w:p>
            <w:pPr>
              <w:spacing w:line="240" w:lineRule="exact"/>
              <w:rPr>
                <w:rFonts w:cs="Times New Roman"/>
                <w:sz w:val="18"/>
                <w:szCs w:val="18"/>
              </w:rPr>
            </w:pPr>
            <w:r>
              <w:rPr>
                <w:rFonts w:hint="eastAsia" w:cs="Times New Roman"/>
                <w:sz w:val="18"/>
                <w:szCs w:val="18"/>
              </w:rPr>
              <w:t>73</w:t>
            </w:r>
          </w:p>
        </w:tc>
        <w:tc>
          <w:tcPr>
            <w:tcW w:w="697"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检查</w:t>
            </w:r>
          </w:p>
        </w:tc>
        <w:tc>
          <w:tcPr>
            <w:tcW w:w="859" w:type="dxa"/>
            <w:vAlign w:val="center"/>
          </w:tcPr>
          <w:p>
            <w:pPr>
              <w:spacing w:line="240" w:lineRule="exact"/>
              <w:rPr>
                <w:rFonts w:cs="Times New Roman"/>
                <w:sz w:val="18"/>
                <w:szCs w:val="18"/>
              </w:rPr>
            </w:pPr>
            <w:r>
              <w:rPr>
                <w:rFonts w:cs="Times New Roman"/>
                <w:sz w:val="18"/>
                <w:szCs w:val="18"/>
              </w:rPr>
              <w:t>对木材经营（加工）检查</w:t>
            </w:r>
          </w:p>
        </w:tc>
        <w:tc>
          <w:tcPr>
            <w:tcW w:w="1026" w:type="dxa"/>
            <w:vAlign w:val="center"/>
          </w:tcPr>
          <w:p>
            <w:pPr>
              <w:spacing w:line="240" w:lineRule="exact"/>
              <w:rPr>
                <w:rFonts w:cs="Times New Roman"/>
                <w:sz w:val="18"/>
                <w:szCs w:val="18"/>
              </w:rPr>
            </w:pPr>
            <w:r>
              <w:rPr>
                <w:rFonts w:cs="Times New Roman"/>
                <w:sz w:val="18"/>
                <w:szCs w:val="18"/>
              </w:rPr>
              <w:t>　</w:t>
            </w:r>
          </w:p>
        </w:tc>
        <w:tc>
          <w:tcPr>
            <w:tcW w:w="3657" w:type="dxa"/>
            <w:vAlign w:val="center"/>
          </w:tcPr>
          <w:p>
            <w:pPr>
              <w:spacing w:line="240" w:lineRule="exact"/>
              <w:ind w:firstLine="360" w:firstLineChars="200"/>
              <w:rPr>
                <w:rFonts w:cs="Times New Roman"/>
                <w:sz w:val="18"/>
                <w:szCs w:val="18"/>
              </w:rPr>
            </w:pPr>
            <w:r>
              <w:rPr>
                <w:rFonts w:cs="Times New Roman"/>
                <w:sz w:val="18"/>
                <w:szCs w:val="18"/>
              </w:rPr>
              <w:t>【法规】《广西壮族自治区实施＜中华人民共和国森林法＞办法》（2006年9月29日广西壮族自治区第十届人民代表大会常务委员会第二十二次会议通过，2014年5月30日修正）第三十四条经营（加工）木材的单位或者个人，不得经营（加工）无合法来源的木材，并接受林业主管部门的监督检查。</w:t>
            </w:r>
          </w:p>
        </w:tc>
        <w:tc>
          <w:tcPr>
            <w:tcW w:w="2252" w:type="dxa"/>
            <w:vAlign w:val="center"/>
          </w:tcPr>
          <w:p>
            <w:pPr>
              <w:spacing w:line="240" w:lineRule="exact"/>
              <w:rPr>
                <w:rFonts w:cs="Times New Roman"/>
                <w:sz w:val="18"/>
                <w:szCs w:val="18"/>
              </w:rPr>
            </w:pPr>
            <w:r>
              <w:rPr>
                <w:rFonts w:cs="Times New Roman"/>
                <w:b/>
                <w:bCs/>
                <w:sz w:val="18"/>
                <w:szCs w:val="18"/>
              </w:rPr>
              <w:br w:type="textWrapping"/>
            </w:r>
            <w:r>
              <w:rPr>
                <w:rFonts w:cs="Times New Roman"/>
                <w:b/>
                <w:bCs/>
                <w:sz w:val="18"/>
                <w:szCs w:val="18"/>
              </w:rPr>
              <w:t xml:space="preserve">    1.公示责任</w:t>
            </w:r>
            <w:r>
              <w:rPr>
                <w:rFonts w:cs="Times New Roman"/>
                <w:sz w:val="18"/>
                <w:szCs w:val="18"/>
              </w:rPr>
              <w:t>：公布本单位随机抽查事项清单、抽查内容、抽查方式等；</w:t>
            </w:r>
            <w:r>
              <w:rPr>
                <w:rFonts w:cs="Times New Roman"/>
                <w:sz w:val="18"/>
                <w:szCs w:val="18"/>
              </w:rPr>
              <w:br w:type="textWrapping"/>
            </w:r>
            <w:r>
              <w:rPr>
                <w:rFonts w:cs="Times New Roman"/>
                <w:b/>
                <w:bCs/>
                <w:sz w:val="18"/>
                <w:szCs w:val="18"/>
              </w:rPr>
              <w:t>2.检查责任</w:t>
            </w:r>
            <w:r>
              <w:rPr>
                <w:rFonts w:cs="Times New Roman"/>
                <w:sz w:val="18"/>
                <w:szCs w:val="18"/>
              </w:rPr>
              <w:t>：合理确定检查频率，对重点对象加大检查力度等。</w:t>
            </w:r>
            <w:r>
              <w:rPr>
                <w:rFonts w:cs="Times New Roman"/>
                <w:sz w:val="18"/>
                <w:szCs w:val="18"/>
              </w:rPr>
              <w:br w:type="textWrapping"/>
            </w:r>
            <w:r>
              <w:rPr>
                <w:rFonts w:cs="Times New Roman"/>
                <w:b/>
                <w:bCs/>
                <w:sz w:val="18"/>
                <w:szCs w:val="18"/>
              </w:rPr>
              <w:t>3.处理责任</w:t>
            </w:r>
            <w:r>
              <w:rPr>
                <w:rFonts w:cs="Times New Roman"/>
                <w:sz w:val="18"/>
                <w:szCs w:val="18"/>
              </w:rPr>
              <w:t>：对检查中发现的问题，提出整改措施，制作下发整改通知书或执法建议书；有违法情况需要作出处罚的，依法进行处罚。</w:t>
            </w:r>
            <w:r>
              <w:rPr>
                <w:rFonts w:cs="Times New Roman"/>
                <w:sz w:val="18"/>
                <w:szCs w:val="18"/>
              </w:rPr>
              <w:br w:type="textWrapping"/>
            </w:r>
            <w:r>
              <w:rPr>
                <w:rFonts w:cs="Times New Roman"/>
                <w:b/>
                <w:bCs/>
                <w:sz w:val="18"/>
                <w:szCs w:val="18"/>
              </w:rPr>
              <w:t>4.监管责任</w:t>
            </w:r>
            <w:r>
              <w:rPr>
                <w:rFonts w:cs="Times New Roman"/>
                <w:sz w:val="18"/>
                <w:szCs w:val="18"/>
              </w:rPr>
              <w:t>：依法加强对驯养繁殖野生动物企业的监管。</w:t>
            </w:r>
            <w:r>
              <w:rPr>
                <w:rFonts w:cs="Times New Roman"/>
                <w:sz w:val="18"/>
                <w:szCs w:val="18"/>
              </w:rPr>
              <w:br w:type="textWrapping"/>
            </w:r>
            <w:r>
              <w:rPr>
                <w:rFonts w:cs="Times New Roman"/>
                <w:b/>
                <w:bCs/>
                <w:sz w:val="18"/>
                <w:szCs w:val="18"/>
              </w:rPr>
              <w:t>5.其他法律法规规章文件规定应履行的责任</w:t>
            </w:r>
            <w:r>
              <w:rPr>
                <w:rFonts w:cs="Times New Roman"/>
                <w:sz w:val="18"/>
                <w:szCs w:val="18"/>
              </w:rPr>
              <w:t>。</w:t>
            </w:r>
          </w:p>
        </w:tc>
        <w:tc>
          <w:tcPr>
            <w:tcW w:w="6060" w:type="dxa"/>
            <w:vAlign w:val="center"/>
          </w:tcPr>
          <w:p>
            <w:pPr>
              <w:spacing w:line="240" w:lineRule="exact"/>
              <w:rPr>
                <w:rFonts w:cs="Times New Roman"/>
                <w:sz w:val="18"/>
                <w:szCs w:val="18"/>
              </w:rPr>
            </w:pPr>
            <w:r>
              <w:rPr>
                <w:rFonts w:cs="Times New Roman"/>
                <w:sz w:val="18"/>
                <w:szCs w:val="18"/>
              </w:rPr>
              <w:t xml:space="preserve">    1.【规范性文件】《国务院办公厅关于推广随机抽查规范事中事后监管的通知》（国办发〔2015〕58号）</w:t>
            </w:r>
            <w:r>
              <w:rPr>
                <w:rFonts w:hint="eastAsia" w:cs="Times New Roman"/>
                <w:sz w:val="18"/>
                <w:szCs w:val="18"/>
              </w:rPr>
              <w:t xml:space="preserve"> 二</w:t>
            </w:r>
            <w:r>
              <w:rPr>
                <w:rFonts w:cs="Times New Roman"/>
                <w:sz w:val="18"/>
                <w:szCs w:val="18"/>
              </w:rPr>
              <w:t>大力推广随机抽查监管（一）制定随机抽查事项清单……要制定随机抽查事项清单，明确抽查依据、抽查主体、抽查内容、抽查方式等。随机抽查事项清单根据法律法规规章修订情况和工作实际进行动态调整，及时向社会公布。</w:t>
            </w:r>
            <w:r>
              <w:rPr>
                <w:rFonts w:cs="Times New Roman"/>
                <w:sz w:val="18"/>
                <w:szCs w:val="18"/>
              </w:rPr>
              <w:br w:type="textWrapping"/>
            </w:r>
            <w:r>
              <w:rPr>
                <w:rFonts w:cs="Times New Roman"/>
                <w:sz w:val="18"/>
                <w:szCs w:val="18"/>
              </w:rPr>
              <w:t xml:space="preserve">    2.【规范性文件】《国务院办公厅关于推广随机抽查规范事中事后监管的通知》（国办发〔2015〕58号）</w:t>
            </w:r>
            <w:r>
              <w:rPr>
                <w:rFonts w:hint="eastAsia" w:cs="Times New Roman"/>
                <w:sz w:val="18"/>
                <w:szCs w:val="18"/>
              </w:rPr>
              <w:t>二</w:t>
            </w:r>
            <w:r>
              <w:rPr>
                <w:rFonts w:cs="Times New Roman"/>
                <w:sz w:val="18"/>
                <w:szCs w:val="18"/>
              </w:rPr>
              <w:t>（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r>
              <w:rPr>
                <w:rFonts w:cs="Times New Roman"/>
                <w:sz w:val="18"/>
                <w:szCs w:val="18"/>
              </w:rPr>
              <w:br w:type="textWrapping"/>
            </w:r>
            <w:r>
              <w:rPr>
                <w:rFonts w:cs="Times New Roman"/>
                <w:sz w:val="18"/>
                <w:szCs w:val="18"/>
              </w:rPr>
              <w:t xml:space="preserve">    3.【法规】《广西壮族自治区实施＜中华人民共和国森林法＞办法》（2006年9月29日广西壮族自治区第十届人民代表大会常务委员会第二十二次会议通过，2014年5月30日修正）第四十三条　违反本办法规定经营(加工)木材的,按照下列规定处罚</w:t>
            </w:r>
            <w:r>
              <w:rPr>
                <w:rFonts w:hint="eastAsia" w:cs="Times New Roman"/>
                <w:sz w:val="18"/>
                <w:szCs w:val="18"/>
              </w:rPr>
              <w:t>：</w:t>
            </w:r>
            <w:r>
              <w:rPr>
                <w:rFonts w:cs="Times New Roman"/>
                <w:sz w:val="18"/>
                <w:szCs w:val="18"/>
              </w:rPr>
              <w:t>(一)无木材经营(加工)许可证</w:t>
            </w:r>
            <w:r>
              <w:rPr>
                <w:rFonts w:hint="eastAsia" w:cs="Times New Roman"/>
                <w:sz w:val="18"/>
                <w:szCs w:val="18"/>
              </w:rPr>
              <w:t>，</w:t>
            </w:r>
            <w:r>
              <w:rPr>
                <w:rFonts w:cs="Times New Roman"/>
                <w:sz w:val="18"/>
                <w:szCs w:val="18"/>
              </w:rPr>
              <w:t>经营(加工)木材的</w:t>
            </w:r>
            <w:r>
              <w:rPr>
                <w:rFonts w:hint="eastAsia" w:cs="Times New Roman"/>
                <w:sz w:val="18"/>
                <w:szCs w:val="18"/>
              </w:rPr>
              <w:t>，</w:t>
            </w:r>
            <w:r>
              <w:rPr>
                <w:rFonts w:cs="Times New Roman"/>
                <w:sz w:val="18"/>
                <w:szCs w:val="18"/>
              </w:rPr>
              <w:t>没收其经营(加工)的全部木材和违法所得</w:t>
            </w:r>
            <w:r>
              <w:rPr>
                <w:rFonts w:hint="eastAsia" w:cs="Times New Roman"/>
                <w:sz w:val="18"/>
                <w:szCs w:val="18"/>
              </w:rPr>
              <w:t>，</w:t>
            </w:r>
            <w:r>
              <w:rPr>
                <w:rFonts w:cs="Times New Roman"/>
                <w:sz w:val="18"/>
                <w:szCs w:val="18"/>
              </w:rPr>
              <w:t>并处违法所得二倍以下罚款</w:t>
            </w:r>
            <w:r>
              <w:rPr>
                <w:rFonts w:hint="eastAsia" w:cs="Times New Roman"/>
                <w:sz w:val="18"/>
                <w:szCs w:val="18"/>
              </w:rPr>
              <w:t>；</w:t>
            </w:r>
            <w:r>
              <w:rPr>
                <w:rFonts w:cs="Times New Roman"/>
                <w:sz w:val="18"/>
                <w:szCs w:val="18"/>
              </w:rPr>
              <w:t>(二)超越木材经营(加工)许可证规定的范围,经营(加工)木材的</w:t>
            </w:r>
            <w:r>
              <w:rPr>
                <w:rFonts w:hint="eastAsia" w:cs="Times New Roman"/>
                <w:sz w:val="18"/>
                <w:szCs w:val="18"/>
              </w:rPr>
              <w:t>，</w:t>
            </w:r>
            <w:r>
              <w:rPr>
                <w:rFonts w:cs="Times New Roman"/>
                <w:sz w:val="18"/>
                <w:szCs w:val="18"/>
              </w:rPr>
              <w:t>对超越的部分</w:t>
            </w:r>
            <w:r>
              <w:rPr>
                <w:rFonts w:hint="eastAsia" w:cs="Times New Roman"/>
                <w:sz w:val="18"/>
                <w:szCs w:val="18"/>
              </w:rPr>
              <w:t>，</w:t>
            </w:r>
            <w:r>
              <w:rPr>
                <w:rFonts w:cs="Times New Roman"/>
                <w:sz w:val="18"/>
                <w:szCs w:val="18"/>
              </w:rPr>
              <w:t>按照无木材经营(加工)许可证进行处罚</w:t>
            </w:r>
            <w:r>
              <w:rPr>
                <w:rFonts w:hint="eastAsia" w:cs="Times New Roman"/>
                <w:sz w:val="18"/>
                <w:szCs w:val="18"/>
              </w:rPr>
              <w:t>；</w:t>
            </w:r>
            <w:r>
              <w:rPr>
                <w:rFonts w:cs="Times New Roman"/>
                <w:sz w:val="18"/>
                <w:szCs w:val="18"/>
              </w:rPr>
              <w:t>情节严重的,吊销经营(加工)许可证</w:t>
            </w:r>
            <w:r>
              <w:rPr>
                <w:rFonts w:hint="eastAsia" w:cs="Times New Roman"/>
                <w:sz w:val="18"/>
                <w:szCs w:val="18"/>
              </w:rPr>
              <w:t>；</w:t>
            </w:r>
            <w:r>
              <w:rPr>
                <w:rFonts w:cs="Times New Roman"/>
                <w:sz w:val="18"/>
                <w:szCs w:val="18"/>
              </w:rPr>
              <w:t>(三)经营(加工)来源不合法的木材的</w:t>
            </w:r>
            <w:r>
              <w:rPr>
                <w:rFonts w:hint="eastAsia" w:cs="Times New Roman"/>
                <w:sz w:val="18"/>
                <w:szCs w:val="18"/>
              </w:rPr>
              <w:t>，</w:t>
            </w:r>
            <w:r>
              <w:rPr>
                <w:rFonts w:cs="Times New Roman"/>
                <w:sz w:val="18"/>
                <w:szCs w:val="18"/>
              </w:rPr>
              <w:t>没收经营(加工)的木材及其违法所得</w:t>
            </w:r>
            <w:r>
              <w:rPr>
                <w:rFonts w:hint="eastAsia" w:cs="Times New Roman"/>
                <w:sz w:val="18"/>
                <w:szCs w:val="18"/>
              </w:rPr>
              <w:t>，</w:t>
            </w:r>
            <w:r>
              <w:rPr>
                <w:rFonts w:cs="Times New Roman"/>
                <w:sz w:val="18"/>
                <w:szCs w:val="18"/>
              </w:rPr>
              <w:t>并处经营(加工)的木材价款二倍以下的罚款</w:t>
            </w:r>
            <w:r>
              <w:rPr>
                <w:rFonts w:hint="eastAsia" w:cs="Times New Roman"/>
                <w:sz w:val="18"/>
                <w:szCs w:val="18"/>
              </w:rPr>
              <w:t>；</w:t>
            </w:r>
            <w:r>
              <w:rPr>
                <w:rFonts w:cs="Times New Roman"/>
                <w:sz w:val="18"/>
                <w:szCs w:val="18"/>
              </w:rPr>
              <w:t>情节严重的</w:t>
            </w:r>
            <w:r>
              <w:rPr>
                <w:rFonts w:hint="eastAsia" w:cs="Times New Roman"/>
                <w:sz w:val="18"/>
                <w:szCs w:val="18"/>
              </w:rPr>
              <w:t>，</w:t>
            </w:r>
            <w:r>
              <w:rPr>
                <w:rFonts w:cs="Times New Roman"/>
                <w:sz w:val="18"/>
                <w:szCs w:val="18"/>
              </w:rPr>
              <w:t>吊销经营(加工)许可证。</w:t>
            </w:r>
            <w:r>
              <w:rPr>
                <w:rFonts w:cs="Times New Roman"/>
                <w:sz w:val="18"/>
                <w:szCs w:val="18"/>
              </w:rPr>
              <w:br w:type="textWrapping"/>
            </w:r>
            <w:r>
              <w:rPr>
                <w:rFonts w:cs="Times New Roman"/>
                <w:sz w:val="18"/>
                <w:szCs w:val="18"/>
              </w:rPr>
              <w:t xml:space="preserve">    4.【法规】《广西壮族自治区实施＜中华人民共和国森林法＞办法》（2006年9月29日广西壮族自治区第十届人民代表大会常务委员会第二十二次会议通过，2014年5月30日修正）第三十二条　设立木材市场,应当遵循合理布局、方便流通、保护资源的原则。林业、工商、税务等行政主管部门应当密切配合,做好木材市场的监督管理工作。</w:t>
            </w:r>
          </w:p>
        </w:tc>
        <w:tc>
          <w:tcPr>
            <w:tcW w:w="1548"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1.不履行或不正确履行职责，对检查工作不认真执行的；</w:t>
            </w:r>
            <w:r>
              <w:rPr>
                <w:rFonts w:cs="Times New Roman"/>
                <w:sz w:val="18"/>
                <w:szCs w:val="18"/>
              </w:rPr>
              <w:br w:type="textWrapping"/>
            </w:r>
            <w:r>
              <w:rPr>
                <w:rFonts w:cs="Times New Roman"/>
                <w:sz w:val="18"/>
                <w:szCs w:val="18"/>
              </w:rPr>
              <w:t>2.在监督检查中玩忽职守、徇私舞弊的；</w:t>
            </w:r>
            <w:r>
              <w:rPr>
                <w:rFonts w:cs="Times New Roman"/>
                <w:sz w:val="18"/>
                <w:szCs w:val="18"/>
              </w:rPr>
              <w:br w:type="textWrapping"/>
            </w:r>
            <w:r>
              <w:rPr>
                <w:rFonts w:cs="Times New Roman"/>
                <w:sz w:val="18"/>
                <w:szCs w:val="18"/>
              </w:rPr>
              <w:t>3.在监督检查中滥用职权，谋取不正当利益和发生腐败行为的；</w:t>
            </w:r>
            <w:r>
              <w:rPr>
                <w:rFonts w:cs="Times New Roman"/>
                <w:sz w:val="18"/>
                <w:szCs w:val="18"/>
              </w:rPr>
              <w:br w:type="textWrapping"/>
            </w:r>
            <w:r>
              <w:rPr>
                <w:rFonts w:cs="Times New Roman"/>
                <w:sz w:val="18"/>
                <w:szCs w:val="18"/>
              </w:rPr>
              <w:t>4.其他违反法律法规规章文件规定的行为。</w:t>
            </w:r>
          </w:p>
        </w:tc>
        <w:tc>
          <w:tcPr>
            <w:tcW w:w="4644" w:type="dxa"/>
            <w:vAlign w:val="center"/>
          </w:tcPr>
          <w:p>
            <w:pPr>
              <w:pStyle w:val="5"/>
              <w:shd w:val="clear" w:color="auto" w:fill="FFFFFF"/>
              <w:spacing w:before="0" w:beforeAutospacing="0" w:after="0" w:afterAutospacing="0"/>
              <w:jc w:val="both"/>
              <w:rPr>
                <w:rFonts w:cstheme="minorEastAsia"/>
                <w:sz w:val="18"/>
                <w:szCs w:val="18"/>
              </w:rPr>
            </w:pPr>
            <w:r>
              <w:rPr>
                <w:rFonts w:hint="eastAsia" w:cstheme="minorEastAsia"/>
                <w:sz w:val="18"/>
                <w:szCs w:val="18"/>
              </w:rPr>
              <w:t>1. 【法规】《广西壮族自治区行政过错责任追究办法》（2007年广西壮族自治区人民政府令第24号）第十一条 行政机关及其工作人员在实施行政监督检查过程中，有下列情形之一的，应当追究行政过错责任：</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（一）没有法定或者规定依据实施检查；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（二）没有具体理由、事项、内容、对象实施检查；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（三）放弃、推诿、拖延、拒绝履行检查职责；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（四）发现违法行为不依法制止、纠正；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（五）侵犯被检查对象合法权益；</w:t>
            </w:r>
          </w:p>
          <w:p>
            <w:pPr>
              <w:spacing w:line="240" w:lineRule="exact"/>
              <w:rPr>
                <w:rFonts w:cs="Times New Roman"/>
                <w:sz w:val="18"/>
                <w:szCs w:val="18"/>
              </w:rPr>
            </w:pPr>
            <w:r>
              <w:rPr>
                <w:rFonts w:hint="eastAsia" w:cs="Times New Roman"/>
                <w:sz w:val="18"/>
                <w:szCs w:val="18"/>
              </w:rPr>
              <w:t>2</w:t>
            </w:r>
            <w:r>
              <w:rPr>
                <w:rFonts w:cs="Times New Roman"/>
                <w:sz w:val="18"/>
                <w:szCs w:val="18"/>
              </w:rPr>
              <w:t>.【法规】《行政机关公务员处分条例》（2007年国务院令第495号）第二十条有下列行为之一的，给予记过、记大过处分；情节较重的，给予降级或者撤职处分；情节严重的，给予开除处分：（四）其他玩忽职守、贻误工作的行为。</w:t>
            </w:r>
            <w:r>
              <w:rPr>
                <w:rFonts w:cs="Times New Roman"/>
                <w:sz w:val="18"/>
                <w:szCs w:val="18"/>
              </w:rPr>
              <w:br w:type="textWrapping"/>
            </w:r>
            <w:r>
              <w:rPr>
                <w:rFonts w:hint="eastAsia" w:cs="Times New Roman"/>
                <w:sz w:val="18"/>
                <w:szCs w:val="18"/>
              </w:rPr>
              <w:t>3.</w:t>
            </w:r>
            <w:r>
              <w:rPr>
                <w:rFonts w:cs="Times New Roman"/>
                <w:sz w:val="18"/>
                <w:szCs w:val="18"/>
              </w:rPr>
              <w:t>【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07"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1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12"/>
        <w:gridCol w:w="741"/>
        <w:gridCol w:w="946"/>
        <w:gridCol w:w="3712"/>
        <w:gridCol w:w="2240"/>
        <w:gridCol w:w="6027"/>
        <w:gridCol w:w="1539"/>
        <w:gridCol w:w="4620"/>
        <w:gridCol w:w="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800" w:type="dxa"/>
            <w:vAlign w:val="center"/>
          </w:tcPr>
          <w:p>
            <w:pPr>
              <w:spacing w:line="280" w:lineRule="exact"/>
              <w:jc w:val="center"/>
              <w:rPr>
                <w:rFonts w:cs="Times New Roman"/>
                <w:sz w:val="18"/>
                <w:szCs w:val="18"/>
              </w:rPr>
            </w:pPr>
            <w:r>
              <w:rPr>
                <w:rFonts w:cs="Times New Roman"/>
                <w:sz w:val="18"/>
                <w:szCs w:val="18"/>
              </w:rPr>
              <w:t>序号</w:t>
            </w:r>
          </w:p>
        </w:tc>
        <w:tc>
          <w:tcPr>
            <w:tcW w:w="712" w:type="dxa"/>
            <w:vAlign w:val="center"/>
          </w:tcPr>
          <w:p>
            <w:pPr>
              <w:spacing w:line="280" w:lineRule="exact"/>
              <w:jc w:val="center"/>
              <w:rPr>
                <w:rFonts w:cs="Times New Roman"/>
                <w:sz w:val="18"/>
                <w:szCs w:val="18"/>
              </w:rPr>
            </w:pPr>
            <w:r>
              <w:rPr>
                <w:rFonts w:cs="Times New Roman"/>
                <w:sz w:val="18"/>
                <w:szCs w:val="18"/>
              </w:rPr>
              <w:t>权力分类</w:t>
            </w:r>
          </w:p>
        </w:tc>
        <w:tc>
          <w:tcPr>
            <w:tcW w:w="741" w:type="dxa"/>
            <w:vAlign w:val="center"/>
          </w:tcPr>
          <w:p>
            <w:pPr>
              <w:spacing w:line="280" w:lineRule="exact"/>
              <w:jc w:val="center"/>
              <w:rPr>
                <w:rFonts w:cs="Times New Roman"/>
                <w:sz w:val="18"/>
                <w:szCs w:val="18"/>
              </w:rPr>
            </w:pPr>
            <w:r>
              <w:rPr>
                <w:rFonts w:cs="Times New Roman"/>
                <w:sz w:val="18"/>
                <w:szCs w:val="18"/>
              </w:rPr>
              <w:t>项目名称</w:t>
            </w:r>
          </w:p>
        </w:tc>
        <w:tc>
          <w:tcPr>
            <w:tcW w:w="946" w:type="dxa"/>
            <w:vAlign w:val="center"/>
          </w:tcPr>
          <w:p>
            <w:pPr>
              <w:spacing w:line="280" w:lineRule="exact"/>
              <w:jc w:val="center"/>
              <w:rPr>
                <w:rFonts w:cs="Times New Roman"/>
                <w:sz w:val="18"/>
                <w:szCs w:val="18"/>
              </w:rPr>
            </w:pPr>
            <w:r>
              <w:rPr>
                <w:rFonts w:cs="Times New Roman"/>
                <w:sz w:val="18"/>
                <w:szCs w:val="18"/>
              </w:rPr>
              <w:t>子项</w:t>
            </w:r>
          </w:p>
        </w:tc>
        <w:tc>
          <w:tcPr>
            <w:tcW w:w="3712" w:type="dxa"/>
            <w:vAlign w:val="center"/>
          </w:tcPr>
          <w:p>
            <w:pPr>
              <w:spacing w:line="280" w:lineRule="exact"/>
              <w:jc w:val="center"/>
              <w:rPr>
                <w:rFonts w:cs="Times New Roman"/>
                <w:sz w:val="18"/>
                <w:szCs w:val="18"/>
              </w:rPr>
            </w:pPr>
            <w:r>
              <w:rPr>
                <w:rFonts w:cs="Times New Roman"/>
                <w:sz w:val="18"/>
                <w:szCs w:val="18"/>
              </w:rPr>
              <w:t>实施依据</w:t>
            </w:r>
          </w:p>
        </w:tc>
        <w:tc>
          <w:tcPr>
            <w:tcW w:w="2240" w:type="dxa"/>
            <w:vAlign w:val="center"/>
          </w:tcPr>
          <w:p>
            <w:pPr>
              <w:spacing w:line="280" w:lineRule="exact"/>
              <w:jc w:val="center"/>
              <w:rPr>
                <w:rFonts w:cs="Times New Roman"/>
                <w:sz w:val="18"/>
                <w:szCs w:val="18"/>
              </w:rPr>
            </w:pPr>
            <w:r>
              <w:rPr>
                <w:rFonts w:cs="Times New Roman"/>
                <w:sz w:val="18"/>
                <w:szCs w:val="18"/>
              </w:rPr>
              <w:t>责任事项</w:t>
            </w:r>
          </w:p>
        </w:tc>
        <w:tc>
          <w:tcPr>
            <w:tcW w:w="6027" w:type="dxa"/>
            <w:vAlign w:val="center"/>
          </w:tcPr>
          <w:p>
            <w:pPr>
              <w:spacing w:line="280" w:lineRule="exact"/>
              <w:jc w:val="center"/>
              <w:rPr>
                <w:rFonts w:cs="Times New Roman"/>
                <w:sz w:val="18"/>
                <w:szCs w:val="18"/>
              </w:rPr>
            </w:pPr>
            <w:r>
              <w:rPr>
                <w:rFonts w:cs="Times New Roman"/>
                <w:sz w:val="18"/>
                <w:szCs w:val="18"/>
              </w:rPr>
              <w:t>责任事项依据</w:t>
            </w:r>
          </w:p>
        </w:tc>
        <w:tc>
          <w:tcPr>
            <w:tcW w:w="1539" w:type="dxa"/>
            <w:vAlign w:val="center"/>
          </w:tcPr>
          <w:p>
            <w:pPr>
              <w:spacing w:line="280" w:lineRule="exact"/>
              <w:jc w:val="center"/>
              <w:rPr>
                <w:rFonts w:cs="Times New Roman"/>
                <w:sz w:val="18"/>
                <w:szCs w:val="18"/>
              </w:rPr>
            </w:pPr>
            <w:r>
              <w:rPr>
                <w:rFonts w:cs="Times New Roman"/>
                <w:sz w:val="18"/>
                <w:szCs w:val="18"/>
              </w:rPr>
              <w:t>追责情形</w:t>
            </w:r>
          </w:p>
        </w:tc>
        <w:tc>
          <w:tcPr>
            <w:tcW w:w="4620" w:type="dxa"/>
            <w:vAlign w:val="center"/>
          </w:tcPr>
          <w:p>
            <w:pPr>
              <w:spacing w:line="280" w:lineRule="exact"/>
              <w:jc w:val="center"/>
              <w:rPr>
                <w:rFonts w:cs="Times New Roman"/>
                <w:sz w:val="18"/>
                <w:szCs w:val="18"/>
              </w:rPr>
            </w:pPr>
            <w:r>
              <w:rPr>
                <w:rFonts w:cs="Times New Roman"/>
                <w:sz w:val="18"/>
                <w:szCs w:val="18"/>
              </w:rPr>
              <w:t>追责依据</w:t>
            </w:r>
          </w:p>
        </w:tc>
        <w:tc>
          <w:tcPr>
            <w:tcW w:w="603"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3" w:hRule="atLeast"/>
          <w:jc w:val="center"/>
        </w:trPr>
        <w:tc>
          <w:tcPr>
            <w:tcW w:w="800" w:type="dxa"/>
            <w:vAlign w:val="center"/>
          </w:tcPr>
          <w:p>
            <w:pPr>
              <w:spacing w:line="240" w:lineRule="exact"/>
              <w:rPr>
                <w:rFonts w:cs="Times New Roman"/>
                <w:sz w:val="18"/>
                <w:szCs w:val="18"/>
              </w:rPr>
            </w:pPr>
            <w:r>
              <w:rPr>
                <w:rFonts w:hint="eastAsia" w:cs="Times New Roman"/>
                <w:sz w:val="18"/>
                <w:szCs w:val="18"/>
              </w:rPr>
              <w:t>74</w:t>
            </w:r>
          </w:p>
        </w:tc>
        <w:tc>
          <w:tcPr>
            <w:tcW w:w="712"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检查</w:t>
            </w:r>
          </w:p>
        </w:tc>
        <w:tc>
          <w:tcPr>
            <w:tcW w:w="741" w:type="dxa"/>
            <w:vAlign w:val="center"/>
          </w:tcPr>
          <w:p>
            <w:pPr>
              <w:spacing w:line="240" w:lineRule="exact"/>
              <w:rPr>
                <w:rFonts w:cs="Times New Roman"/>
                <w:sz w:val="18"/>
                <w:szCs w:val="18"/>
              </w:rPr>
            </w:pPr>
            <w:r>
              <w:rPr>
                <w:rFonts w:cs="Times New Roman"/>
                <w:sz w:val="18"/>
                <w:szCs w:val="18"/>
              </w:rPr>
              <w:t>植物检疫检查</w:t>
            </w:r>
          </w:p>
        </w:tc>
        <w:tc>
          <w:tcPr>
            <w:tcW w:w="946" w:type="dxa"/>
            <w:vAlign w:val="center"/>
          </w:tcPr>
          <w:p>
            <w:pPr>
              <w:spacing w:line="240" w:lineRule="exact"/>
              <w:rPr>
                <w:rFonts w:cs="Times New Roman"/>
                <w:sz w:val="18"/>
                <w:szCs w:val="18"/>
              </w:rPr>
            </w:pPr>
            <w:r>
              <w:rPr>
                <w:rFonts w:cs="Times New Roman"/>
                <w:sz w:val="18"/>
                <w:szCs w:val="18"/>
              </w:rPr>
              <w:t>　</w:t>
            </w:r>
          </w:p>
        </w:tc>
        <w:tc>
          <w:tcPr>
            <w:tcW w:w="3712" w:type="dxa"/>
            <w:vAlign w:val="center"/>
          </w:tcPr>
          <w:p>
            <w:pPr>
              <w:spacing w:line="240" w:lineRule="exact"/>
              <w:ind w:firstLine="360" w:firstLineChars="200"/>
              <w:rPr>
                <w:rFonts w:cs="Times New Roman"/>
                <w:sz w:val="18"/>
                <w:szCs w:val="18"/>
              </w:rPr>
            </w:pPr>
            <w:r>
              <w:rPr>
                <w:rFonts w:cs="Times New Roman"/>
                <w:sz w:val="18"/>
                <w:szCs w:val="18"/>
              </w:rPr>
              <w:t>【法规】《植物检疫条例》（1983年1月3号国务院发布施行，1992年5月13日国务院令第98号修订）第五条第三款在发生疫情的地区，植物检疫机构可以派人参加当地的道路联合检查站或者木材检查站：发生特大疫情时，经省、自治区、直辖市人民政府批准，可以设立植物检疫检查站，开展植物检疫工作。</w:t>
            </w:r>
            <w:r>
              <w:rPr>
                <w:rFonts w:cs="Times New Roman"/>
                <w:sz w:val="18"/>
                <w:szCs w:val="18"/>
              </w:rPr>
              <w:br w:type="textWrapping"/>
            </w:r>
            <w:r>
              <w:rPr>
                <w:rFonts w:cs="Times New Roman"/>
                <w:sz w:val="18"/>
                <w:szCs w:val="18"/>
              </w:rPr>
              <w:t>【法规】《广西壮族自治区实施＜中华人民共和国森林法＞办法》（2006年9月29日广西壮族自治区第十届人民代表大会常务委员会第二十二次会议通过，2014年5月30日修正）第二十一条各级人民政府及其林业主管部门应当加强对林业有害生物的预防和除治工作。发生危险性和检疫性林业有害生物时，经自治区人民政府批准，可以在林业有害生物疫情发生区设立临时林业检疫检查站，控制疫情传播。第三十七条经自治区人民政府批准设立的木材检查站，负责查验木材和国家、自治区保护的陆生野生动物、植物以及其他林产品运输证件和森林植物检疫证件。</w:t>
            </w:r>
          </w:p>
        </w:tc>
        <w:tc>
          <w:tcPr>
            <w:tcW w:w="2240" w:type="dxa"/>
            <w:vAlign w:val="center"/>
          </w:tcPr>
          <w:p>
            <w:pPr>
              <w:spacing w:line="240" w:lineRule="exact"/>
              <w:rPr>
                <w:rFonts w:cs="Times New Roman"/>
                <w:sz w:val="18"/>
                <w:szCs w:val="18"/>
              </w:rPr>
            </w:pPr>
            <w:r>
              <w:rPr>
                <w:rFonts w:cs="Times New Roman"/>
                <w:b/>
                <w:bCs/>
                <w:sz w:val="18"/>
                <w:szCs w:val="18"/>
              </w:rPr>
              <w:t>1.检查责任</w:t>
            </w:r>
            <w:r>
              <w:rPr>
                <w:rFonts w:cs="Times New Roman"/>
                <w:sz w:val="18"/>
                <w:szCs w:val="18"/>
              </w:rPr>
              <w:t>：对植物检疫对象疫情进行核查；</w:t>
            </w:r>
            <w:r>
              <w:rPr>
                <w:rFonts w:cs="Times New Roman"/>
                <w:sz w:val="18"/>
                <w:szCs w:val="18"/>
              </w:rPr>
              <w:br w:type="textWrapping"/>
            </w:r>
            <w:r>
              <w:rPr>
                <w:rFonts w:cs="Times New Roman"/>
                <w:b/>
                <w:bCs/>
                <w:sz w:val="18"/>
                <w:szCs w:val="18"/>
              </w:rPr>
              <w:t>2.处理责任</w:t>
            </w:r>
            <w:r>
              <w:rPr>
                <w:rFonts w:cs="Times New Roman"/>
                <w:sz w:val="18"/>
                <w:szCs w:val="18"/>
              </w:rPr>
              <w:t>：对违反规定引起植物疫情扩散作出相应的处理措施；</w:t>
            </w:r>
            <w:r>
              <w:rPr>
                <w:rFonts w:cs="Times New Roman"/>
                <w:sz w:val="18"/>
                <w:szCs w:val="18"/>
              </w:rPr>
              <w:br w:type="textWrapping"/>
            </w:r>
            <w:r>
              <w:rPr>
                <w:rFonts w:cs="Times New Roman"/>
                <w:b/>
                <w:bCs/>
                <w:sz w:val="18"/>
                <w:szCs w:val="18"/>
              </w:rPr>
              <w:t>3.监管责任</w:t>
            </w:r>
            <w:r>
              <w:rPr>
                <w:rFonts w:cs="Times New Roman"/>
                <w:sz w:val="18"/>
                <w:szCs w:val="18"/>
              </w:rPr>
              <w:t>：加强监管，防范疫情扩散；</w:t>
            </w:r>
            <w:r>
              <w:rPr>
                <w:rFonts w:cs="Times New Roman"/>
                <w:sz w:val="18"/>
                <w:szCs w:val="18"/>
              </w:rPr>
              <w:br w:type="textWrapping"/>
            </w:r>
            <w:r>
              <w:rPr>
                <w:rFonts w:cs="Times New Roman"/>
                <w:b/>
                <w:bCs/>
                <w:sz w:val="18"/>
                <w:szCs w:val="18"/>
              </w:rPr>
              <w:t xml:space="preserve"> 4.其他法律法规规章文件规定应履行的责任。</w:t>
            </w:r>
          </w:p>
        </w:tc>
        <w:tc>
          <w:tcPr>
            <w:tcW w:w="6027" w:type="dxa"/>
            <w:vAlign w:val="center"/>
          </w:tcPr>
          <w:p>
            <w:pPr>
              <w:spacing w:line="240" w:lineRule="exact"/>
              <w:rPr>
                <w:rFonts w:cs="Times New Roman"/>
                <w:sz w:val="18"/>
                <w:szCs w:val="18"/>
              </w:rPr>
            </w:pPr>
            <w:r>
              <w:rPr>
                <w:rFonts w:cs="Times New Roman"/>
                <w:sz w:val="18"/>
                <w:szCs w:val="18"/>
              </w:rPr>
              <w:t xml:space="preserve">    1.【规章】《植物检疫条例实施细则（林业部分）》(1994年7月26日林业部令第4号发布）第四条县级以上地方林业主管部门或者其所属的森检机构可以根据需要在林业工作站、国有林场、国有苗圃、贮木场、自然保护区、木材检查站及有关车站、机场、港口、仓库等单位，聘请兼职森硷员协助森检机构开展工作。</w:t>
            </w:r>
            <w:r>
              <w:rPr>
                <w:rFonts w:cs="Times New Roman"/>
                <w:sz w:val="18"/>
                <w:szCs w:val="18"/>
              </w:rPr>
              <w:br w:type="textWrapping"/>
            </w:r>
            <w:r>
              <w:rPr>
                <w:rFonts w:cs="Times New Roman"/>
                <w:sz w:val="18"/>
                <w:szCs w:val="18"/>
              </w:rPr>
              <w:t xml:space="preserve">    2.【法规】《植物检疫条例》（1983年1月3号国务院发布施行，1992年5月13日国务院令第98号修订）第十八条有下列行为之一的，植物检疫机构应当责令纠正，可以处以罚款；造成损失的，应当负责赔偿；构成犯罪的，由司法机关依法追究刑事责任；（一）未依照本条例规定办理植物检疫证书或者在报检过程中弄虚作假的；（二）伪造、涂改、买卖、转让植物检疫单证、印章、标志、封识的；（三）未依照本条例规定调运、隔离试种或者生产应施检疫的植物、植物产品的；（四）违反本条例规定，擅自开拆植物、植物产品包装，调换植物、植物产品，或者擅自改变植物、植物产品的规定用途的；（五）违反本条例规定，引起疫情扩散的。有前款第（一）、（二）、（三）、（四）项所列情形之一，尚不构成犯罪的，植物检疫机构可以没收非法所得。</w:t>
            </w:r>
            <w:r>
              <w:rPr>
                <w:rFonts w:cs="Times New Roman"/>
                <w:sz w:val="18"/>
                <w:szCs w:val="18"/>
              </w:rPr>
              <w:br w:type="textWrapping"/>
            </w:r>
            <w:r>
              <w:rPr>
                <w:rFonts w:cs="Times New Roman"/>
                <w:sz w:val="18"/>
                <w:szCs w:val="18"/>
              </w:rPr>
              <w:t xml:space="preserve">    3.【法规】《植物检疫条例》（1983年1月3号国务院发布施行，1992年5月13日国务院令第98号修订）第五条第一、二款局部地区发生植物检疫对象的，应划为疫区，采取封锁、消灭措施，防止植物检疫对象传出；发生地区已比较普遍的，则应将未发生地区划为保护区，防止植物检疫对象传入。疫区应根据植物检疫对象的传播情况、当地的地理环境、交通状况以及采取封锁、消灭措施的需要来划定，其范围应严格控制。</w:t>
            </w:r>
          </w:p>
        </w:tc>
        <w:tc>
          <w:tcPr>
            <w:tcW w:w="1539"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1.不履行或不正确履行职责，对检查工作不认真执行的；</w:t>
            </w:r>
            <w:r>
              <w:rPr>
                <w:rFonts w:cs="Times New Roman"/>
                <w:sz w:val="18"/>
                <w:szCs w:val="18"/>
              </w:rPr>
              <w:br w:type="textWrapping"/>
            </w:r>
            <w:r>
              <w:rPr>
                <w:rFonts w:cs="Times New Roman"/>
                <w:sz w:val="18"/>
                <w:szCs w:val="18"/>
              </w:rPr>
              <w:t>2.在监督检查中玩忽职守、徇私舞弊的；</w:t>
            </w:r>
            <w:r>
              <w:rPr>
                <w:rFonts w:cs="Times New Roman"/>
                <w:sz w:val="18"/>
                <w:szCs w:val="18"/>
              </w:rPr>
              <w:br w:type="textWrapping"/>
            </w:r>
            <w:r>
              <w:rPr>
                <w:rFonts w:cs="Times New Roman"/>
                <w:sz w:val="18"/>
                <w:szCs w:val="18"/>
              </w:rPr>
              <w:t>3.在监督检查中滥用职权，谋取不正当利益和发生腐败行为的；</w:t>
            </w:r>
            <w:r>
              <w:rPr>
                <w:rFonts w:cs="Times New Roman"/>
                <w:sz w:val="18"/>
                <w:szCs w:val="18"/>
              </w:rPr>
              <w:br w:type="textWrapping"/>
            </w:r>
            <w:r>
              <w:rPr>
                <w:rFonts w:cs="Times New Roman"/>
                <w:sz w:val="18"/>
                <w:szCs w:val="18"/>
              </w:rPr>
              <w:t>4.其他违反法律法规规章文件规定的行为。</w:t>
            </w:r>
          </w:p>
        </w:tc>
        <w:tc>
          <w:tcPr>
            <w:tcW w:w="4620" w:type="dxa"/>
            <w:vAlign w:val="center"/>
          </w:tcPr>
          <w:p>
            <w:pPr>
              <w:pStyle w:val="5"/>
              <w:shd w:val="clear" w:color="auto" w:fill="FFFFFF"/>
              <w:spacing w:before="0" w:beforeAutospacing="0" w:after="0" w:afterAutospacing="0"/>
              <w:jc w:val="both"/>
              <w:rPr>
                <w:rFonts w:cstheme="minorEastAsia"/>
                <w:sz w:val="18"/>
                <w:szCs w:val="18"/>
              </w:rPr>
            </w:pPr>
            <w:r>
              <w:rPr>
                <w:rFonts w:hint="eastAsia" w:cstheme="minorEastAsia"/>
                <w:sz w:val="18"/>
                <w:szCs w:val="18"/>
              </w:rPr>
              <w:t>1. 【法规】《广西壮族自治区行政过错责任追究办法》（2007年广西壮族自治区人民政府令第24号）第十一条 行政机关及其工作人员在实施行政监督检查过程中，有下列情形之一的，应当追究行政过错责任：</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（一）没有法定或者规定依据实施检查；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（二）没有具体理由、事项、内容、对象实施检查；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（三）放弃、推诿、拖延、拒绝履行检查职责；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（四）发现违法行为不依法制止、纠正；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（五）侵犯被检查对象合法权益；</w:t>
            </w:r>
          </w:p>
          <w:p>
            <w:pPr>
              <w:spacing w:line="240" w:lineRule="exact"/>
              <w:rPr>
                <w:rFonts w:cs="Times New Roman"/>
                <w:sz w:val="18"/>
                <w:szCs w:val="18"/>
              </w:rPr>
            </w:pPr>
            <w:r>
              <w:rPr>
                <w:rFonts w:hint="eastAsia" w:cs="Times New Roman"/>
                <w:sz w:val="18"/>
                <w:szCs w:val="18"/>
              </w:rPr>
              <w:t>2</w:t>
            </w:r>
            <w:r>
              <w:rPr>
                <w:rFonts w:cs="Times New Roman"/>
                <w:sz w:val="18"/>
                <w:szCs w:val="18"/>
              </w:rPr>
              <w:t>.【法规】《行政机关公务员处分条例》（2007年国务院令第495号）第二十条有下列行为之一的，给予记过、记大过处分；情节较重的，给予降级或者撤职处分；情节严重的，给予开除处分：（四）其他玩忽职守、贻误工作的行为。</w:t>
            </w:r>
            <w:r>
              <w:rPr>
                <w:rFonts w:cs="Times New Roman"/>
                <w:sz w:val="18"/>
                <w:szCs w:val="18"/>
              </w:rPr>
              <w:br w:type="textWrapping"/>
            </w:r>
            <w:r>
              <w:rPr>
                <w:rFonts w:hint="eastAsia" w:cs="Times New Roman"/>
                <w:sz w:val="18"/>
                <w:szCs w:val="18"/>
              </w:rPr>
              <w:t>3.</w:t>
            </w:r>
            <w:r>
              <w:rPr>
                <w:rFonts w:cs="Times New Roman"/>
                <w:sz w:val="18"/>
                <w:szCs w:val="18"/>
              </w:rPr>
              <w:t>【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03"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741"/>
        <w:gridCol w:w="733"/>
        <w:gridCol w:w="922"/>
        <w:gridCol w:w="3804"/>
        <w:gridCol w:w="2273"/>
        <w:gridCol w:w="6114"/>
        <w:gridCol w:w="1562"/>
        <w:gridCol w:w="4687"/>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812" w:type="dxa"/>
            <w:vAlign w:val="center"/>
          </w:tcPr>
          <w:p>
            <w:pPr>
              <w:spacing w:line="280" w:lineRule="exact"/>
              <w:jc w:val="center"/>
              <w:rPr>
                <w:rFonts w:cs="Times New Roman"/>
                <w:sz w:val="18"/>
                <w:szCs w:val="18"/>
              </w:rPr>
            </w:pPr>
            <w:r>
              <w:rPr>
                <w:rFonts w:cs="Times New Roman"/>
                <w:sz w:val="18"/>
                <w:szCs w:val="18"/>
              </w:rPr>
              <w:t>序号</w:t>
            </w:r>
          </w:p>
        </w:tc>
        <w:tc>
          <w:tcPr>
            <w:tcW w:w="741" w:type="dxa"/>
            <w:vAlign w:val="center"/>
          </w:tcPr>
          <w:p>
            <w:pPr>
              <w:spacing w:line="280" w:lineRule="exact"/>
              <w:jc w:val="center"/>
              <w:rPr>
                <w:rFonts w:cs="Times New Roman"/>
                <w:sz w:val="18"/>
                <w:szCs w:val="18"/>
              </w:rPr>
            </w:pPr>
            <w:r>
              <w:rPr>
                <w:rFonts w:cs="Times New Roman"/>
                <w:sz w:val="18"/>
                <w:szCs w:val="18"/>
              </w:rPr>
              <w:t>权力分类</w:t>
            </w:r>
          </w:p>
        </w:tc>
        <w:tc>
          <w:tcPr>
            <w:tcW w:w="733" w:type="dxa"/>
            <w:vAlign w:val="center"/>
          </w:tcPr>
          <w:p>
            <w:pPr>
              <w:spacing w:line="280" w:lineRule="exact"/>
              <w:jc w:val="center"/>
              <w:rPr>
                <w:rFonts w:cs="Times New Roman"/>
                <w:sz w:val="18"/>
                <w:szCs w:val="18"/>
              </w:rPr>
            </w:pPr>
            <w:r>
              <w:rPr>
                <w:rFonts w:cs="Times New Roman"/>
                <w:sz w:val="18"/>
                <w:szCs w:val="18"/>
              </w:rPr>
              <w:t>项目名称</w:t>
            </w:r>
          </w:p>
        </w:tc>
        <w:tc>
          <w:tcPr>
            <w:tcW w:w="922" w:type="dxa"/>
            <w:vAlign w:val="center"/>
          </w:tcPr>
          <w:p>
            <w:pPr>
              <w:spacing w:line="280" w:lineRule="exact"/>
              <w:jc w:val="center"/>
              <w:rPr>
                <w:rFonts w:cs="Times New Roman"/>
                <w:sz w:val="18"/>
                <w:szCs w:val="18"/>
              </w:rPr>
            </w:pPr>
            <w:r>
              <w:rPr>
                <w:rFonts w:cs="Times New Roman"/>
                <w:sz w:val="18"/>
                <w:szCs w:val="18"/>
              </w:rPr>
              <w:t>子项</w:t>
            </w:r>
          </w:p>
        </w:tc>
        <w:tc>
          <w:tcPr>
            <w:tcW w:w="3804" w:type="dxa"/>
            <w:vAlign w:val="center"/>
          </w:tcPr>
          <w:p>
            <w:pPr>
              <w:spacing w:line="280" w:lineRule="exact"/>
              <w:jc w:val="center"/>
              <w:rPr>
                <w:rFonts w:cs="Times New Roman"/>
                <w:sz w:val="18"/>
                <w:szCs w:val="18"/>
              </w:rPr>
            </w:pPr>
            <w:r>
              <w:rPr>
                <w:rFonts w:cs="Times New Roman"/>
                <w:sz w:val="18"/>
                <w:szCs w:val="18"/>
              </w:rPr>
              <w:t>实施依据</w:t>
            </w:r>
          </w:p>
        </w:tc>
        <w:tc>
          <w:tcPr>
            <w:tcW w:w="2273" w:type="dxa"/>
            <w:vAlign w:val="center"/>
          </w:tcPr>
          <w:p>
            <w:pPr>
              <w:spacing w:line="280" w:lineRule="exact"/>
              <w:jc w:val="center"/>
              <w:rPr>
                <w:rFonts w:cs="Times New Roman"/>
                <w:sz w:val="18"/>
                <w:szCs w:val="18"/>
              </w:rPr>
            </w:pPr>
            <w:r>
              <w:rPr>
                <w:rFonts w:cs="Times New Roman"/>
                <w:sz w:val="18"/>
                <w:szCs w:val="18"/>
              </w:rPr>
              <w:t>责任事项</w:t>
            </w:r>
          </w:p>
        </w:tc>
        <w:tc>
          <w:tcPr>
            <w:tcW w:w="6114" w:type="dxa"/>
            <w:vAlign w:val="center"/>
          </w:tcPr>
          <w:p>
            <w:pPr>
              <w:spacing w:line="280" w:lineRule="exact"/>
              <w:jc w:val="center"/>
              <w:rPr>
                <w:rFonts w:cs="Times New Roman"/>
                <w:sz w:val="18"/>
                <w:szCs w:val="18"/>
              </w:rPr>
            </w:pPr>
            <w:r>
              <w:rPr>
                <w:rFonts w:cs="Times New Roman"/>
                <w:sz w:val="18"/>
                <w:szCs w:val="18"/>
              </w:rPr>
              <w:t>责任事项依据</w:t>
            </w:r>
          </w:p>
        </w:tc>
        <w:tc>
          <w:tcPr>
            <w:tcW w:w="1562" w:type="dxa"/>
            <w:vAlign w:val="center"/>
          </w:tcPr>
          <w:p>
            <w:pPr>
              <w:spacing w:line="280" w:lineRule="exact"/>
              <w:jc w:val="center"/>
              <w:rPr>
                <w:rFonts w:cs="Times New Roman"/>
                <w:sz w:val="18"/>
                <w:szCs w:val="18"/>
              </w:rPr>
            </w:pPr>
            <w:r>
              <w:rPr>
                <w:rFonts w:cs="Times New Roman"/>
                <w:sz w:val="18"/>
                <w:szCs w:val="18"/>
              </w:rPr>
              <w:t>追责情形</w:t>
            </w:r>
          </w:p>
        </w:tc>
        <w:tc>
          <w:tcPr>
            <w:tcW w:w="4687"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7" w:hRule="atLeast"/>
          <w:jc w:val="center"/>
        </w:trPr>
        <w:tc>
          <w:tcPr>
            <w:tcW w:w="812" w:type="dxa"/>
            <w:vAlign w:val="center"/>
          </w:tcPr>
          <w:p>
            <w:pPr>
              <w:spacing w:line="240" w:lineRule="exact"/>
              <w:rPr>
                <w:rFonts w:cs="Times New Roman"/>
                <w:sz w:val="18"/>
                <w:szCs w:val="18"/>
              </w:rPr>
            </w:pPr>
            <w:r>
              <w:rPr>
                <w:rFonts w:hint="eastAsia" w:cs="Times New Roman"/>
                <w:sz w:val="18"/>
                <w:szCs w:val="18"/>
              </w:rPr>
              <w:t>75</w:t>
            </w:r>
          </w:p>
        </w:tc>
        <w:tc>
          <w:tcPr>
            <w:tcW w:w="741" w:type="dxa"/>
            <w:vAlign w:val="center"/>
          </w:tcPr>
          <w:p>
            <w:pPr>
              <w:spacing w:line="240" w:lineRule="exact"/>
              <w:rPr>
                <w:rFonts w:cs="Times New Roman"/>
                <w:sz w:val="18"/>
                <w:szCs w:val="18"/>
              </w:rPr>
            </w:pPr>
            <w:r>
              <w:rPr>
                <w:rFonts w:cs="Times New Roman"/>
                <w:sz w:val="18"/>
                <w:szCs w:val="18"/>
              </w:rPr>
              <w:t>行政</w:t>
            </w:r>
            <w:r>
              <w:rPr>
                <w:rFonts w:hint="eastAsia" w:cs="Times New Roman"/>
                <w:sz w:val="18"/>
                <w:szCs w:val="18"/>
              </w:rPr>
              <w:t>检查</w:t>
            </w:r>
          </w:p>
        </w:tc>
        <w:tc>
          <w:tcPr>
            <w:tcW w:w="733" w:type="dxa"/>
            <w:vAlign w:val="center"/>
          </w:tcPr>
          <w:p>
            <w:pPr>
              <w:spacing w:line="240" w:lineRule="exact"/>
              <w:rPr>
                <w:rFonts w:cs="Times New Roman"/>
                <w:sz w:val="18"/>
                <w:szCs w:val="18"/>
              </w:rPr>
            </w:pPr>
            <w:r>
              <w:rPr>
                <w:rFonts w:cs="Times New Roman"/>
                <w:sz w:val="18"/>
                <w:szCs w:val="18"/>
              </w:rPr>
              <w:t>森林防火工作检查</w:t>
            </w:r>
          </w:p>
        </w:tc>
        <w:tc>
          <w:tcPr>
            <w:tcW w:w="922" w:type="dxa"/>
            <w:vAlign w:val="center"/>
          </w:tcPr>
          <w:p>
            <w:pPr>
              <w:spacing w:line="240" w:lineRule="exact"/>
              <w:rPr>
                <w:rFonts w:cs="Times New Roman"/>
                <w:sz w:val="18"/>
                <w:szCs w:val="18"/>
              </w:rPr>
            </w:pPr>
            <w:r>
              <w:rPr>
                <w:rFonts w:cs="Times New Roman"/>
                <w:sz w:val="18"/>
                <w:szCs w:val="18"/>
              </w:rPr>
              <w:t>　</w:t>
            </w:r>
          </w:p>
        </w:tc>
        <w:tc>
          <w:tcPr>
            <w:tcW w:w="3804" w:type="dxa"/>
            <w:vAlign w:val="center"/>
          </w:tcPr>
          <w:p>
            <w:pPr>
              <w:spacing w:line="240" w:lineRule="exact"/>
              <w:ind w:firstLine="360" w:firstLineChars="200"/>
              <w:rPr>
                <w:rFonts w:cs="Times New Roman"/>
                <w:sz w:val="18"/>
                <w:szCs w:val="18"/>
              </w:rPr>
            </w:pPr>
            <w:r>
              <w:rPr>
                <w:rFonts w:cs="Times New Roman"/>
                <w:sz w:val="18"/>
                <w:szCs w:val="18"/>
              </w:rPr>
              <w:t>【法规】《森林防火条例》（1988年1月16日国务院公布，2008年12月1日予以修改）第二十四条县级以上人民政府森林防火指挥机构，应当组织有关部门对森林防火区内有关单位的森林防火组织建设、森林防火责任制落实、森林防火设施等情况进行检查；对检查中发现的森林火灾隐患，县级以上地方人民政府林业主管部门应当急事向有关单位下达森林火灾隐患整改通知书，责令限期整改，消除隐患。第二十七条森林防火期内，经省、自治区、直辖市人民政府批准，林业主管部门、国务院确定的重点国有林区的管理机构可以设立临时性的森林防火检查站，对进入森林防火区的车辆和人员进行森林防火检查。</w:t>
            </w:r>
          </w:p>
        </w:tc>
        <w:tc>
          <w:tcPr>
            <w:tcW w:w="2273" w:type="dxa"/>
            <w:vAlign w:val="center"/>
          </w:tcPr>
          <w:p>
            <w:pPr>
              <w:spacing w:line="240" w:lineRule="exact"/>
              <w:rPr>
                <w:rFonts w:cs="Times New Roman"/>
                <w:sz w:val="18"/>
                <w:szCs w:val="18"/>
              </w:rPr>
            </w:pPr>
            <w:r>
              <w:rPr>
                <w:rFonts w:cs="Times New Roman"/>
                <w:b/>
                <w:bCs/>
                <w:sz w:val="18"/>
                <w:szCs w:val="18"/>
              </w:rPr>
              <w:t>1.检查责任</w:t>
            </w:r>
            <w:r>
              <w:rPr>
                <w:rFonts w:cs="Times New Roman"/>
                <w:sz w:val="18"/>
                <w:szCs w:val="18"/>
              </w:rPr>
              <w:t>：对森林防火组织建设、责任落实、森林防火设施等情况进行检查；</w:t>
            </w:r>
            <w:r>
              <w:rPr>
                <w:rFonts w:cs="Times New Roman"/>
                <w:sz w:val="18"/>
                <w:szCs w:val="18"/>
              </w:rPr>
              <w:br w:type="textWrapping"/>
            </w:r>
            <w:r>
              <w:rPr>
                <w:rFonts w:cs="Times New Roman"/>
                <w:b/>
                <w:bCs/>
                <w:sz w:val="18"/>
                <w:szCs w:val="18"/>
              </w:rPr>
              <w:t>2.处理责任</w:t>
            </w:r>
            <w:r>
              <w:rPr>
                <w:rFonts w:cs="Times New Roman"/>
                <w:sz w:val="18"/>
                <w:szCs w:val="18"/>
              </w:rPr>
              <w:t>：对隐患下发限期整改通知</w:t>
            </w:r>
            <w:r>
              <w:rPr>
                <w:rFonts w:cs="Times New Roman"/>
                <w:sz w:val="18"/>
                <w:szCs w:val="18"/>
              </w:rPr>
              <w:br w:type="textWrapping"/>
            </w:r>
            <w:r>
              <w:rPr>
                <w:rFonts w:cs="Times New Roman"/>
                <w:b/>
                <w:bCs/>
                <w:sz w:val="18"/>
                <w:szCs w:val="18"/>
              </w:rPr>
              <w:t>3.监管责任</w:t>
            </w:r>
            <w:r>
              <w:rPr>
                <w:rFonts w:cs="Times New Roman"/>
                <w:sz w:val="18"/>
                <w:szCs w:val="18"/>
              </w:rPr>
              <w:t>：加强日常监管，</w:t>
            </w:r>
            <w:r>
              <w:rPr>
                <w:rFonts w:cs="Times New Roman"/>
                <w:sz w:val="18"/>
                <w:szCs w:val="18"/>
              </w:rPr>
              <w:br w:type="textWrapping"/>
            </w:r>
            <w:r>
              <w:rPr>
                <w:rFonts w:cs="Times New Roman"/>
                <w:b/>
                <w:bCs/>
                <w:sz w:val="18"/>
                <w:szCs w:val="18"/>
              </w:rPr>
              <w:t xml:space="preserve"> 4.其他法律法规规章文件规定应履行的责任。</w:t>
            </w:r>
            <w:r>
              <w:rPr>
                <w:rFonts w:cs="Times New Roman"/>
                <w:sz w:val="18"/>
                <w:szCs w:val="18"/>
              </w:rPr>
              <w:br w:type="textWrapping"/>
            </w:r>
          </w:p>
        </w:tc>
        <w:tc>
          <w:tcPr>
            <w:tcW w:w="6114" w:type="dxa"/>
            <w:vAlign w:val="center"/>
          </w:tcPr>
          <w:p>
            <w:pPr>
              <w:spacing w:line="240" w:lineRule="exact"/>
              <w:rPr>
                <w:rFonts w:cs="Times New Roman"/>
                <w:sz w:val="18"/>
                <w:szCs w:val="18"/>
              </w:rPr>
            </w:pPr>
            <w:r>
              <w:rPr>
                <w:rFonts w:cs="Times New Roman"/>
                <w:sz w:val="18"/>
                <w:szCs w:val="18"/>
              </w:rPr>
              <w:t>1.【法规】《森林防火条例》（1988年1月16日国务院公布，2008年12月1日予以修改）第二十四条县级以上人民政府森林防火指挥机构，应当组织有关部门对森林防火区内有关单位的森林防火组织建设、森林防火责任制落实、森林防火设施等情况进行检查；对检查中发现的森林火灾隐患，县级以上地方人民政府林业主管部门应当急事向有关单位下达森林火灾隐患整改通知书，责令限期整改，消除隐患。第二十七条森林防火期内，经省、自治区、直辖市人民政府批准，林业主管部门、国务院确定的重点国有林区的管理机构可以设立临时性的森林防火检查站，对进入森林防火区的车辆和人员进行森林防火检查。</w:t>
            </w:r>
            <w:r>
              <w:rPr>
                <w:rFonts w:cs="Times New Roman"/>
                <w:sz w:val="18"/>
                <w:szCs w:val="18"/>
              </w:rPr>
              <w:br w:type="textWrapping"/>
            </w:r>
            <w:r>
              <w:rPr>
                <w:rFonts w:cs="Times New Roman"/>
                <w:sz w:val="18"/>
                <w:szCs w:val="18"/>
              </w:rPr>
              <w:t>2.同1.</w:t>
            </w:r>
            <w:r>
              <w:rPr>
                <w:rFonts w:cs="Times New Roman"/>
                <w:sz w:val="18"/>
                <w:szCs w:val="18"/>
              </w:rPr>
              <w:br w:type="textWrapping"/>
            </w:r>
            <w:r>
              <w:rPr>
                <w:rFonts w:cs="Times New Roman"/>
                <w:sz w:val="18"/>
                <w:szCs w:val="18"/>
              </w:rPr>
              <w:t xml:space="preserve"> 3.同1.</w:t>
            </w:r>
          </w:p>
        </w:tc>
        <w:tc>
          <w:tcPr>
            <w:tcW w:w="1562"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1.不履行或不正确履行职责，对检查工作不认真执行的；</w:t>
            </w:r>
            <w:r>
              <w:rPr>
                <w:rFonts w:cs="Times New Roman"/>
                <w:sz w:val="18"/>
                <w:szCs w:val="18"/>
              </w:rPr>
              <w:br w:type="textWrapping"/>
            </w:r>
            <w:r>
              <w:rPr>
                <w:rFonts w:cs="Times New Roman"/>
                <w:sz w:val="18"/>
                <w:szCs w:val="18"/>
              </w:rPr>
              <w:t>2.在监督检查中玩忽职守、徇私舞弊的；</w:t>
            </w:r>
            <w:r>
              <w:rPr>
                <w:rFonts w:cs="Times New Roman"/>
                <w:sz w:val="18"/>
                <w:szCs w:val="18"/>
              </w:rPr>
              <w:br w:type="textWrapping"/>
            </w:r>
            <w:r>
              <w:rPr>
                <w:rFonts w:cs="Times New Roman"/>
                <w:sz w:val="18"/>
                <w:szCs w:val="18"/>
              </w:rPr>
              <w:t>3.在监督检查中滥用职权，谋取不正当利益和发生腐败行为的；</w:t>
            </w:r>
            <w:r>
              <w:rPr>
                <w:rFonts w:cs="Times New Roman"/>
                <w:sz w:val="18"/>
                <w:szCs w:val="18"/>
              </w:rPr>
              <w:br w:type="textWrapping"/>
            </w:r>
            <w:r>
              <w:rPr>
                <w:rFonts w:cs="Times New Roman"/>
                <w:sz w:val="18"/>
                <w:szCs w:val="18"/>
              </w:rPr>
              <w:t>4.其他违反法律法规规章文件规定的行为。</w:t>
            </w:r>
          </w:p>
        </w:tc>
        <w:tc>
          <w:tcPr>
            <w:tcW w:w="4687" w:type="dxa"/>
            <w:vAlign w:val="center"/>
          </w:tcPr>
          <w:p>
            <w:pPr>
              <w:pStyle w:val="5"/>
              <w:shd w:val="clear" w:color="auto" w:fill="FFFFFF"/>
              <w:spacing w:before="0" w:beforeAutospacing="0" w:after="0" w:afterAutospacing="0"/>
              <w:jc w:val="both"/>
              <w:rPr>
                <w:rFonts w:cstheme="minorEastAsia"/>
                <w:sz w:val="18"/>
                <w:szCs w:val="18"/>
              </w:rPr>
            </w:pPr>
            <w:r>
              <w:rPr>
                <w:rFonts w:hint="eastAsia" w:cstheme="minorEastAsia"/>
                <w:sz w:val="18"/>
                <w:szCs w:val="18"/>
              </w:rPr>
              <w:t>1. 【法规】《广西壮族自治区行政过错责任追究办法》（2007年广西壮族自治区人民政府令第24号）第十一条 行政机关及其工作人员在实施行政监督检查过程中，有下列情形之一的，应当追究行政过错责任：</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（一）没有法定或者规定依据实施检查；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（二）没有具体理由、事项、内容、对象实施检查；</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（三）放弃、推诿、拖延、拒绝履行检查职责；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（四）发现违法行为不依法制止、纠正；</w:t>
            </w:r>
          </w:p>
          <w:p>
            <w:pPr>
              <w:pStyle w:val="5"/>
              <w:shd w:val="clear" w:color="auto" w:fill="FFFFFF"/>
              <w:spacing w:before="0" w:beforeAutospacing="0" w:after="0" w:afterAutospacing="0"/>
              <w:rPr>
                <w:rFonts w:cstheme="minorEastAsia"/>
                <w:sz w:val="18"/>
                <w:szCs w:val="18"/>
              </w:rPr>
            </w:pPr>
            <w:r>
              <w:rPr>
                <w:rFonts w:hint="eastAsia" w:cstheme="minorEastAsia"/>
                <w:sz w:val="18"/>
                <w:szCs w:val="18"/>
              </w:rPr>
              <w:t>（五）侵犯被检查对象合法权益；</w:t>
            </w:r>
          </w:p>
          <w:p>
            <w:pPr>
              <w:spacing w:line="240" w:lineRule="exact"/>
              <w:rPr>
                <w:rFonts w:cs="Times New Roman"/>
                <w:sz w:val="18"/>
                <w:szCs w:val="18"/>
              </w:rPr>
            </w:pPr>
            <w:r>
              <w:rPr>
                <w:rFonts w:hint="eastAsia" w:cs="Times New Roman"/>
                <w:sz w:val="18"/>
                <w:szCs w:val="18"/>
              </w:rPr>
              <w:t>2</w:t>
            </w:r>
            <w:r>
              <w:rPr>
                <w:rFonts w:cs="Times New Roman"/>
                <w:sz w:val="18"/>
                <w:szCs w:val="18"/>
              </w:rPr>
              <w:t>.【法规】《行政机关公务员处分条例》（2007年国务院令第495号）第二十条有下列行为之一的，给予记过、记大过处分；情节较重的，给予降级或者撤职处分；情节严重的，给予开除处分：（四）其他玩忽职守、贻误工作的行为。</w:t>
            </w:r>
            <w:r>
              <w:rPr>
                <w:rFonts w:cs="Times New Roman"/>
                <w:sz w:val="18"/>
                <w:szCs w:val="18"/>
              </w:rPr>
              <w:br w:type="textWrapping"/>
            </w:r>
            <w:r>
              <w:rPr>
                <w:rFonts w:hint="eastAsia" w:cs="Times New Roman"/>
                <w:sz w:val="18"/>
                <w:szCs w:val="18"/>
              </w:rPr>
              <w:t>3.</w:t>
            </w:r>
            <w:r>
              <w:rPr>
                <w:rFonts w:cs="Times New Roman"/>
                <w:sz w:val="18"/>
                <w:szCs w:val="18"/>
              </w:rPr>
              <w:t>【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612"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702"/>
        <w:gridCol w:w="789"/>
        <w:gridCol w:w="844"/>
        <w:gridCol w:w="4440"/>
        <w:gridCol w:w="2693"/>
        <w:gridCol w:w="4678"/>
        <w:gridCol w:w="1992"/>
        <w:gridCol w:w="4678"/>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91" w:type="dxa"/>
            <w:vAlign w:val="center"/>
          </w:tcPr>
          <w:p>
            <w:pPr>
              <w:spacing w:line="280" w:lineRule="exact"/>
              <w:jc w:val="center"/>
              <w:rPr>
                <w:rFonts w:cs="Times New Roman"/>
                <w:sz w:val="18"/>
                <w:szCs w:val="18"/>
              </w:rPr>
            </w:pPr>
            <w:r>
              <w:rPr>
                <w:rFonts w:cs="Times New Roman"/>
                <w:sz w:val="18"/>
                <w:szCs w:val="18"/>
              </w:rPr>
              <w:t>序号</w:t>
            </w:r>
          </w:p>
        </w:tc>
        <w:tc>
          <w:tcPr>
            <w:tcW w:w="702" w:type="dxa"/>
            <w:vAlign w:val="center"/>
          </w:tcPr>
          <w:p>
            <w:pPr>
              <w:spacing w:line="280" w:lineRule="exact"/>
              <w:jc w:val="center"/>
              <w:rPr>
                <w:rFonts w:cs="Times New Roman"/>
                <w:sz w:val="18"/>
                <w:szCs w:val="18"/>
              </w:rPr>
            </w:pPr>
            <w:r>
              <w:rPr>
                <w:rFonts w:cs="Times New Roman"/>
                <w:sz w:val="18"/>
                <w:szCs w:val="18"/>
              </w:rPr>
              <w:t>权力分类</w:t>
            </w:r>
          </w:p>
        </w:tc>
        <w:tc>
          <w:tcPr>
            <w:tcW w:w="789" w:type="dxa"/>
            <w:vAlign w:val="center"/>
          </w:tcPr>
          <w:p>
            <w:pPr>
              <w:spacing w:line="280" w:lineRule="exact"/>
              <w:jc w:val="center"/>
              <w:rPr>
                <w:rFonts w:cs="Times New Roman"/>
                <w:sz w:val="18"/>
                <w:szCs w:val="18"/>
              </w:rPr>
            </w:pPr>
            <w:r>
              <w:rPr>
                <w:rFonts w:cs="Times New Roman"/>
                <w:sz w:val="18"/>
                <w:szCs w:val="18"/>
              </w:rPr>
              <w:t>项目名称</w:t>
            </w:r>
          </w:p>
        </w:tc>
        <w:tc>
          <w:tcPr>
            <w:tcW w:w="844" w:type="dxa"/>
            <w:vAlign w:val="center"/>
          </w:tcPr>
          <w:p>
            <w:pPr>
              <w:spacing w:line="280" w:lineRule="exact"/>
              <w:jc w:val="center"/>
              <w:rPr>
                <w:rFonts w:cs="Times New Roman"/>
                <w:sz w:val="18"/>
                <w:szCs w:val="18"/>
              </w:rPr>
            </w:pPr>
            <w:r>
              <w:rPr>
                <w:rFonts w:cs="Times New Roman"/>
                <w:sz w:val="18"/>
                <w:szCs w:val="18"/>
              </w:rPr>
              <w:t>子项</w:t>
            </w:r>
          </w:p>
        </w:tc>
        <w:tc>
          <w:tcPr>
            <w:tcW w:w="4440" w:type="dxa"/>
            <w:vAlign w:val="center"/>
          </w:tcPr>
          <w:p>
            <w:pPr>
              <w:spacing w:line="280" w:lineRule="exact"/>
              <w:jc w:val="center"/>
              <w:rPr>
                <w:rFonts w:cs="Times New Roman"/>
                <w:sz w:val="18"/>
                <w:szCs w:val="18"/>
              </w:rPr>
            </w:pPr>
            <w:r>
              <w:rPr>
                <w:rFonts w:cs="Times New Roman"/>
                <w:sz w:val="18"/>
                <w:szCs w:val="18"/>
              </w:rPr>
              <w:t>实施依据</w:t>
            </w:r>
          </w:p>
        </w:tc>
        <w:tc>
          <w:tcPr>
            <w:tcW w:w="2693" w:type="dxa"/>
            <w:vAlign w:val="center"/>
          </w:tcPr>
          <w:p>
            <w:pPr>
              <w:spacing w:line="280" w:lineRule="exact"/>
              <w:jc w:val="center"/>
              <w:rPr>
                <w:rFonts w:cs="Times New Roman"/>
                <w:sz w:val="18"/>
                <w:szCs w:val="18"/>
              </w:rPr>
            </w:pPr>
            <w:r>
              <w:rPr>
                <w:rFonts w:cs="Times New Roman"/>
                <w:sz w:val="18"/>
                <w:szCs w:val="18"/>
              </w:rPr>
              <w:t>责任事项</w:t>
            </w:r>
          </w:p>
        </w:tc>
        <w:tc>
          <w:tcPr>
            <w:tcW w:w="4678" w:type="dxa"/>
            <w:vAlign w:val="center"/>
          </w:tcPr>
          <w:p>
            <w:pPr>
              <w:spacing w:line="280" w:lineRule="exact"/>
              <w:jc w:val="center"/>
              <w:rPr>
                <w:rFonts w:cs="Times New Roman"/>
                <w:sz w:val="18"/>
                <w:szCs w:val="18"/>
              </w:rPr>
            </w:pPr>
            <w:r>
              <w:rPr>
                <w:rFonts w:cs="Times New Roman"/>
                <w:sz w:val="18"/>
                <w:szCs w:val="18"/>
              </w:rPr>
              <w:t>责任事项依据</w:t>
            </w:r>
          </w:p>
        </w:tc>
        <w:tc>
          <w:tcPr>
            <w:tcW w:w="1992" w:type="dxa"/>
            <w:vAlign w:val="center"/>
          </w:tcPr>
          <w:p>
            <w:pPr>
              <w:spacing w:line="280" w:lineRule="exact"/>
              <w:jc w:val="center"/>
              <w:rPr>
                <w:rFonts w:cs="Times New Roman"/>
                <w:sz w:val="18"/>
                <w:szCs w:val="18"/>
              </w:rPr>
            </w:pPr>
            <w:r>
              <w:rPr>
                <w:rFonts w:cs="Times New Roman"/>
                <w:sz w:val="18"/>
                <w:szCs w:val="18"/>
              </w:rPr>
              <w:t>追责情形</w:t>
            </w:r>
          </w:p>
        </w:tc>
        <w:tc>
          <w:tcPr>
            <w:tcW w:w="4678"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791" w:type="dxa"/>
            <w:vAlign w:val="center"/>
          </w:tcPr>
          <w:p>
            <w:pPr>
              <w:spacing w:line="240" w:lineRule="exact"/>
              <w:rPr>
                <w:rFonts w:cs="Times New Roman"/>
                <w:sz w:val="18"/>
                <w:szCs w:val="18"/>
              </w:rPr>
            </w:pPr>
            <w:r>
              <w:rPr>
                <w:rFonts w:hint="eastAsia" w:cs="Times New Roman"/>
                <w:sz w:val="18"/>
                <w:szCs w:val="18"/>
              </w:rPr>
              <w:t>76</w:t>
            </w:r>
          </w:p>
        </w:tc>
        <w:tc>
          <w:tcPr>
            <w:tcW w:w="702" w:type="dxa"/>
            <w:vAlign w:val="center"/>
          </w:tcPr>
          <w:p>
            <w:pPr>
              <w:spacing w:line="240" w:lineRule="exact"/>
              <w:rPr>
                <w:rFonts w:cs="Times New Roman"/>
                <w:sz w:val="18"/>
                <w:szCs w:val="18"/>
              </w:rPr>
            </w:pPr>
            <w:r>
              <w:rPr>
                <w:rFonts w:cs="Times New Roman"/>
                <w:sz w:val="18"/>
                <w:szCs w:val="18"/>
              </w:rPr>
              <w:t>行政奖励</w:t>
            </w:r>
          </w:p>
        </w:tc>
        <w:tc>
          <w:tcPr>
            <w:tcW w:w="789" w:type="dxa"/>
            <w:vAlign w:val="center"/>
          </w:tcPr>
          <w:p>
            <w:pPr>
              <w:spacing w:line="240" w:lineRule="exact"/>
              <w:rPr>
                <w:rFonts w:cs="Times New Roman"/>
                <w:sz w:val="18"/>
                <w:szCs w:val="18"/>
              </w:rPr>
            </w:pPr>
            <w:r>
              <w:rPr>
                <w:rFonts w:cs="Times New Roman"/>
                <w:sz w:val="18"/>
                <w:szCs w:val="18"/>
              </w:rPr>
              <w:t>对保护陆生野生动物工作成绩突出的单位和个人法人行政奖励</w:t>
            </w:r>
          </w:p>
        </w:tc>
        <w:tc>
          <w:tcPr>
            <w:tcW w:w="844" w:type="dxa"/>
            <w:vAlign w:val="center"/>
          </w:tcPr>
          <w:p>
            <w:pPr>
              <w:spacing w:line="240" w:lineRule="exact"/>
              <w:rPr>
                <w:rFonts w:cs="Times New Roman"/>
                <w:sz w:val="18"/>
                <w:szCs w:val="18"/>
              </w:rPr>
            </w:pPr>
            <w:r>
              <w:rPr>
                <w:rFonts w:cs="Times New Roman"/>
                <w:sz w:val="18"/>
                <w:szCs w:val="18"/>
              </w:rPr>
              <w:t>　</w:t>
            </w:r>
          </w:p>
        </w:tc>
        <w:tc>
          <w:tcPr>
            <w:tcW w:w="4440" w:type="dxa"/>
            <w:vAlign w:val="center"/>
          </w:tcPr>
          <w:p>
            <w:pPr>
              <w:spacing w:line="240" w:lineRule="exact"/>
              <w:ind w:firstLine="360" w:firstLineChars="200"/>
              <w:rPr>
                <w:rFonts w:cs="Times New Roman"/>
                <w:sz w:val="18"/>
                <w:szCs w:val="18"/>
              </w:rPr>
            </w:pPr>
            <w:r>
              <w:rPr>
                <w:rFonts w:cs="Times New Roman"/>
                <w:sz w:val="18"/>
                <w:szCs w:val="18"/>
              </w:rPr>
              <w:t>【法规】《中华人民共和国陆生野生动物保护实施条例》（(1992年3月1日林业部令第29号发布，2016年2月6日国务院令第666号修改）第三十二条有下列事迹之一的单位和个人，由县级以上人民政府或者其野生动物行政主管部门给予奖励：（一）在野生动物资源调查、保护管理、宣传教育、开发利用方面有突出贡献的；（二）严格执行野生动物保护法规，成绩显著的；（三）拯救、保护和驯养繁殖珍贵、濒危野生动物取得显著成效的；（四）发现违反野生动物保护法规行为，及时制止或者检举有功的；（五）有查处破坏野生动物资源案件中有重要贡献的；（六）在野生动物科学研究中取得重大成果或者在应用推广科研成果中取得显著效益的；（七）在基层从事野生动物保护管理工作5年以上并取得显著成绩的；（八）在野生动物保护管理工作中有其他特殊贡献的。</w:t>
            </w:r>
            <w:r>
              <w:rPr>
                <w:rFonts w:cs="Times New Roman"/>
                <w:sz w:val="18"/>
                <w:szCs w:val="18"/>
              </w:rPr>
              <w:br w:type="textWrapping"/>
            </w:r>
            <w:r>
              <w:rPr>
                <w:rFonts w:cs="Times New Roman"/>
                <w:sz w:val="18"/>
                <w:szCs w:val="18"/>
              </w:rPr>
              <w:t>【法规】《广西壮族自治区陆生野生动物保护管理规定》（2012年3月23日修订）第十八条对保护陆生野生动物或者举报、揭发、查处违反陆生野生动物保护法律、法规行为的有功单位和个人，对濒危、珍稀陆生野生动物物种进行拯救、饲养繁殖、科学研究等工作成绩突出的单位和个人，各级人民政府或者县级以上人民政府林业行政主管部门应当给予表彰和奖励。</w:t>
            </w:r>
          </w:p>
        </w:tc>
        <w:tc>
          <w:tcPr>
            <w:tcW w:w="2693" w:type="dxa"/>
            <w:vAlign w:val="center"/>
          </w:tcPr>
          <w:p>
            <w:pPr>
              <w:spacing w:line="240" w:lineRule="exact"/>
              <w:rPr>
                <w:rFonts w:cs="Times New Roman"/>
                <w:sz w:val="18"/>
                <w:szCs w:val="18"/>
              </w:rPr>
            </w:pPr>
            <w:r>
              <w:rPr>
                <w:rFonts w:cs="Times New Roman"/>
                <w:b/>
                <w:bCs/>
                <w:sz w:val="18"/>
                <w:szCs w:val="18"/>
              </w:rPr>
              <w:t xml:space="preserve">    1.制定方案责任</w:t>
            </w:r>
            <w:r>
              <w:rPr>
                <w:rFonts w:cs="Times New Roman"/>
                <w:sz w:val="18"/>
                <w:szCs w:val="18"/>
              </w:rPr>
              <w:t>：按相关规定，事先依法制定科学合理的奖励方案，对奖励条件、对象、金额和程序作出明确具体的规定，并按程序报批后实施；</w:t>
            </w:r>
            <w:r>
              <w:rPr>
                <w:rFonts w:cs="Times New Roman"/>
                <w:sz w:val="18"/>
                <w:szCs w:val="18"/>
              </w:rPr>
              <w:br w:type="textWrapping"/>
            </w:r>
            <w:r>
              <w:rPr>
                <w:rFonts w:cs="Times New Roman"/>
                <w:b/>
                <w:bCs/>
                <w:sz w:val="18"/>
                <w:szCs w:val="18"/>
              </w:rPr>
              <w:t>2.公示责任</w:t>
            </w:r>
            <w:r>
              <w:rPr>
                <w:rFonts w:cs="Times New Roman"/>
                <w:sz w:val="18"/>
                <w:szCs w:val="18"/>
              </w:rPr>
              <w:t>：公示奖励实施的方案、初步评选结果等。</w:t>
            </w:r>
            <w:r>
              <w:rPr>
                <w:rFonts w:cs="Times New Roman"/>
                <w:sz w:val="18"/>
                <w:szCs w:val="18"/>
              </w:rPr>
              <w:br w:type="textWrapping"/>
            </w:r>
            <w:r>
              <w:rPr>
                <w:rFonts w:cs="Times New Roman"/>
                <w:b/>
                <w:bCs/>
                <w:sz w:val="18"/>
                <w:szCs w:val="18"/>
              </w:rPr>
              <w:t>3.奖励责任</w:t>
            </w:r>
            <w:r>
              <w:rPr>
                <w:rFonts w:cs="Times New Roman"/>
                <w:sz w:val="18"/>
                <w:szCs w:val="18"/>
              </w:rPr>
              <w:t>：严格按照事先制定的方案，认真核实奖励对象是否符合奖励条件，对符合条件的，给予奖励。</w:t>
            </w:r>
            <w:r>
              <w:rPr>
                <w:rFonts w:cs="Times New Roman"/>
                <w:sz w:val="18"/>
                <w:szCs w:val="18"/>
              </w:rPr>
              <w:br w:type="textWrapping"/>
            </w:r>
            <w:r>
              <w:rPr>
                <w:rFonts w:cs="Times New Roman"/>
                <w:b/>
                <w:bCs/>
                <w:sz w:val="18"/>
                <w:szCs w:val="18"/>
              </w:rPr>
              <w:t>4.监管责任</w:t>
            </w:r>
            <w:r>
              <w:rPr>
                <w:rFonts w:cs="Times New Roman"/>
                <w:sz w:val="18"/>
                <w:szCs w:val="18"/>
              </w:rPr>
              <w:t>：加强监督检查；查处违规行为。</w:t>
            </w:r>
            <w:r>
              <w:rPr>
                <w:rFonts w:cs="Times New Roman"/>
                <w:sz w:val="18"/>
                <w:szCs w:val="18"/>
              </w:rPr>
              <w:br w:type="textWrapping"/>
            </w:r>
            <w:r>
              <w:rPr>
                <w:rFonts w:cs="Times New Roman"/>
                <w:b/>
                <w:bCs/>
                <w:sz w:val="18"/>
                <w:szCs w:val="18"/>
              </w:rPr>
              <w:t>5.其他法律法规规章文件规定应履行的责任。</w:t>
            </w:r>
          </w:p>
        </w:tc>
        <w:tc>
          <w:tcPr>
            <w:tcW w:w="4678" w:type="dxa"/>
            <w:vAlign w:val="center"/>
          </w:tcPr>
          <w:p>
            <w:pPr>
              <w:spacing w:line="240" w:lineRule="exact"/>
              <w:ind w:firstLine="360" w:firstLineChars="200"/>
              <w:rPr>
                <w:rFonts w:cs="Times New Roman"/>
                <w:sz w:val="18"/>
                <w:szCs w:val="18"/>
              </w:rPr>
            </w:pPr>
            <w:r>
              <w:rPr>
                <w:rFonts w:cs="Times New Roman"/>
                <w:sz w:val="18"/>
                <w:szCs w:val="18"/>
              </w:rPr>
              <w:t>1.【法规】《广西壮族自治区陆生野生动物保护管理规定》（2012年3月23日修订）第十八条对保护陆生野生动物或者举报、揭发、查处违反陆生野生动物保护法律、法规行为的有功单位和个人，对濒危、珍稀陆生野生动物物种进行拯救、饲养繁殖、科学研究等工作成绩突出的单位和个人，各级人民政府或者县级以上人民政府林业行政主管部门应当给予表彰和奖励。</w:t>
            </w:r>
            <w:r>
              <w:rPr>
                <w:rFonts w:cs="Times New Roman"/>
                <w:sz w:val="18"/>
                <w:szCs w:val="18"/>
              </w:rPr>
              <w:br w:type="textWrapping"/>
            </w:r>
            <w:r>
              <w:rPr>
                <w:rFonts w:cs="Times New Roman"/>
                <w:sz w:val="18"/>
                <w:szCs w:val="18"/>
              </w:rPr>
              <w:t>2.同1.</w:t>
            </w:r>
            <w:r>
              <w:rPr>
                <w:rFonts w:cs="Times New Roman"/>
                <w:sz w:val="18"/>
                <w:szCs w:val="18"/>
              </w:rPr>
              <w:br w:type="textWrapping"/>
            </w:r>
            <w:r>
              <w:rPr>
                <w:rFonts w:cs="Times New Roman"/>
                <w:sz w:val="18"/>
                <w:szCs w:val="18"/>
              </w:rPr>
              <w:t>3.同1.</w:t>
            </w:r>
            <w:r>
              <w:rPr>
                <w:rFonts w:cs="Times New Roman"/>
                <w:sz w:val="18"/>
                <w:szCs w:val="18"/>
              </w:rPr>
              <w:br w:type="textWrapping"/>
            </w:r>
            <w:r>
              <w:rPr>
                <w:rFonts w:cs="Times New Roman"/>
                <w:sz w:val="18"/>
                <w:szCs w:val="18"/>
              </w:rPr>
              <w:t>4.同1.</w:t>
            </w:r>
          </w:p>
        </w:tc>
        <w:tc>
          <w:tcPr>
            <w:tcW w:w="1992"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因不履行或不正确履行行政职责，有下列情形的，行政机关及其工作人员应承担相应责任：</w:t>
            </w:r>
            <w:r>
              <w:rPr>
                <w:rFonts w:cs="Times New Roman"/>
                <w:sz w:val="18"/>
                <w:szCs w:val="18"/>
              </w:rPr>
              <w:br w:type="textWrapping"/>
            </w:r>
            <w:r>
              <w:rPr>
                <w:rFonts w:cs="Times New Roman"/>
                <w:sz w:val="18"/>
                <w:szCs w:val="18"/>
              </w:rPr>
              <w:t>1玩忽职守、贻误工作的行为</w:t>
            </w:r>
            <w:r>
              <w:rPr>
                <w:rFonts w:hint="eastAsia" w:cs="Times New Roman"/>
                <w:sz w:val="18"/>
                <w:szCs w:val="18"/>
              </w:rPr>
              <w:t>，</w:t>
            </w:r>
            <w:r>
              <w:rPr>
                <w:rFonts w:cs="Times New Roman"/>
                <w:sz w:val="18"/>
                <w:szCs w:val="18"/>
              </w:rPr>
              <w:t>.符合奖励条件而审核不通过或不符合奖励条件而违规予以审查通过的；</w:t>
            </w:r>
            <w:r>
              <w:rPr>
                <w:rFonts w:cs="Times New Roman"/>
                <w:sz w:val="18"/>
                <w:szCs w:val="18"/>
              </w:rPr>
              <w:br w:type="textWrapping"/>
            </w:r>
            <w:r>
              <w:rPr>
                <w:rFonts w:cs="Times New Roman"/>
                <w:sz w:val="18"/>
                <w:szCs w:val="18"/>
              </w:rPr>
              <w:t>2.不按程序研究决定或决定错误或显失公平的；</w:t>
            </w:r>
            <w:r>
              <w:rPr>
                <w:rFonts w:cs="Times New Roman"/>
                <w:sz w:val="18"/>
                <w:szCs w:val="18"/>
              </w:rPr>
              <w:br w:type="textWrapping"/>
            </w:r>
            <w:r>
              <w:rPr>
                <w:rFonts w:cs="Times New Roman"/>
                <w:sz w:val="18"/>
                <w:szCs w:val="18"/>
              </w:rPr>
              <w:t>3.不及时兑现奖励或收取回扣的；</w:t>
            </w:r>
            <w:r>
              <w:rPr>
                <w:rFonts w:cs="Times New Roman"/>
                <w:sz w:val="18"/>
                <w:szCs w:val="18"/>
              </w:rPr>
              <w:br w:type="textWrapping"/>
            </w:r>
            <w:r>
              <w:rPr>
                <w:rFonts w:cs="Times New Roman"/>
                <w:sz w:val="18"/>
                <w:szCs w:val="18"/>
              </w:rPr>
              <w:t>4.工作中滥用职权、徇私舞弊、玩忽职守造成不良后果的；</w:t>
            </w:r>
            <w:r>
              <w:rPr>
                <w:rFonts w:cs="Times New Roman"/>
                <w:sz w:val="18"/>
                <w:szCs w:val="18"/>
              </w:rPr>
              <w:br w:type="textWrapping"/>
            </w:r>
            <w:r>
              <w:rPr>
                <w:rFonts w:cs="Times New Roman"/>
                <w:sz w:val="18"/>
                <w:szCs w:val="18"/>
              </w:rPr>
              <w:t>5.工作中发生贪污腐败行为的；</w:t>
            </w:r>
            <w:r>
              <w:rPr>
                <w:rFonts w:cs="Times New Roman"/>
                <w:sz w:val="18"/>
                <w:szCs w:val="18"/>
              </w:rPr>
              <w:br w:type="textWrapping"/>
            </w:r>
            <w:r>
              <w:rPr>
                <w:rFonts w:cs="Times New Roman"/>
                <w:sz w:val="18"/>
                <w:szCs w:val="18"/>
              </w:rPr>
              <w:t>6.其他违反法律法规规章文件规定的行为。</w:t>
            </w:r>
          </w:p>
        </w:tc>
        <w:tc>
          <w:tcPr>
            <w:tcW w:w="4678" w:type="dxa"/>
            <w:vAlign w:val="center"/>
          </w:tcPr>
          <w:p>
            <w:pPr>
              <w:spacing w:line="240" w:lineRule="exact"/>
              <w:ind w:firstLine="360" w:firstLineChars="200"/>
              <w:rPr>
                <w:rFonts w:cs="Times New Roman"/>
                <w:sz w:val="18"/>
                <w:szCs w:val="18"/>
              </w:rPr>
            </w:pPr>
            <w:r>
              <w:rPr>
                <w:rFonts w:cs="Times New Roman"/>
                <w:sz w:val="18"/>
                <w:szCs w:val="18"/>
              </w:rPr>
              <w:t>1.【法规】《行政机关公务员处分条例》（2007年国务院令第495号）第二十条有下列行为之一的，给予记过、记大过处分；情节较重的，给予降级或者撤职处分；情节严重的，给予开除处分：（四）其他玩忽职守、贻误工作的行为。</w:t>
            </w:r>
            <w:r>
              <w:rPr>
                <w:rFonts w:cs="Times New Roman"/>
                <w:sz w:val="18"/>
                <w:szCs w:val="18"/>
              </w:rPr>
              <w:br w:type="textWrapping"/>
            </w:r>
            <w:r>
              <w:rPr>
                <w:rFonts w:cs="Times New Roman"/>
                <w:sz w:val="18"/>
                <w:szCs w:val="18"/>
              </w:rPr>
              <w:t>2.同1.</w:t>
            </w:r>
            <w:r>
              <w:rPr>
                <w:rFonts w:cs="Times New Roman"/>
                <w:sz w:val="18"/>
                <w:szCs w:val="18"/>
              </w:rPr>
              <w:br w:type="textWrapping"/>
            </w:r>
            <w:r>
              <w:rPr>
                <w:rFonts w:cs="Times New Roman"/>
                <w:sz w:val="18"/>
                <w:szCs w:val="18"/>
              </w:rPr>
              <w:t>3.【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cs="Times New Roman"/>
                <w:sz w:val="18"/>
                <w:szCs w:val="18"/>
              </w:rPr>
              <w:br w:type="textWrapping"/>
            </w:r>
            <w:r>
              <w:rPr>
                <w:rFonts w:cs="Times New Roman"/>
                <w:sz w:val="18"/>
                <w:szCs w:val="18"/>
              </w:rPr>
              <w:t>4.同1.</w:t>
            </w:r>
            <w:r>
              <w:rPr>
                <w:rFonts w:cs="Times New Roman"/>
                <w:sz w:val="18"/>
                <w:szCs w:val="18"/>
              </w:rPr>
              <w:br w:type="textWrapping"/>
            </w:r>
            <w:r>
              <w:rPr>
                <w:rFonts w:cs="Times New Roman"/>
                <w:sz w:val="18"/>
                <w:szCs w:val="18"/>
              </w:rPr>
              <w:t>5.同3.</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40"/>
        <w:gridCol w:w="788"/>
        <w:gridCol w:w="843"/>
        <w:gridCol w:w="4437"/>
        <w:gridCol w:w="2691"/>
        <w:gridCol w:w="4674"/>
        <w:gridCol w:w="1990"/>
        <w:gridCol w:w="4674"/>
        <w:gridCol w:w="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52" w:type="dxa"/>
            <w:vAlign w:val="center"/>
          </w:tcPr>
          <w:p>
            <w:pPr>
              <w:spacing w:line="280" w:lineRule="exact"/>
              <w:jc w:val="center"/>
              <w:rPr>
                <w:rFonts w:cs="Times New Roman"/>
                <w:sz w:val="18"/>
                <w:szCs w:val="18"/>
              </w:rPr>
            </w:pPr>
            <w:r>
              <w:rPr>
                <w:rFonts w:cs="Times New Roman"/>
                <w:sz w:val="18"/>
                <w:szCs w:val="18"/>
              </w:rPr>
              <w:t>序号</w:t>
            </w:r>
          </w:p>
        </w:tc>
        <w:tc>
          <w:tcPr>
            <w:tcW w:w="740" w:type="dxa"/>
            <w:vAlign w:val="center"/>
          </w:tcPr>
          <w:p>
            <w:pPr>
              <w:spacing w:line="280" w:lineRule="exact"/>
              <w:jc w:val="center"/>
              <w:rPr>
                <w:rFonts w:cs="Times New Roman"/>
                <w:sz w:val="18"/>
                <w:szCs w:val="18"/>
              </w:rPr>
            </w:pPr>
            <w:r>
              <w:rPr>
                <w:rFonts w:cs="Times New Roman"/>
                <w:sz w:val="18"/>
                <w:szCs w:val="18"/>
              </w:rPr>
              <w:t>权力分类</w:t>
            </w:r>
          </w:p>
        </w:tc>
        <w:tc>
          <w:tcPr>
            <w:tcW w:w="788" w:type="dxa"/>
            <w:vAlign w:val="center"/>
          </w:tcPr>
          <w:p>
            <w:pPr>
              <w:spacing w:line="280" w:lineRule="exact"/>
              <w:jc w:val="center"/>
              <w:rPr>
                <w:rFonts w:cs="Times New Roman"/>
                <w:sz w:val="18"/>
                <w:szCs w:val="18"/>
              </w:rPr>
            </w:pPr>
            <w:r>
              <w:rPr>
                <w:rFonts w:cs="Times New Roman"/>
                <w:sz w:val="18"/>
                <w:szCs w:val="18"/>
              </w:rPr>
              <w:t>项目名称</w:t>
            </w:r>
          </w:p>
        </w:tc>
        <w:tc>
          <w:tcPr>
            <w:tcW w:w="843" w:type="dxa"/>
            <w:vAlign w:val="center"/>
          </w:tcPr>
          <w:p>
            <w:pPr>
              <w:spacing w:line="280" w:lineRule="exact"/>
              <w:jc w:val="center"/>
              <w:rPr>
                <w:rFonts w:cs="Times New Roman"/>
                <w:sz w:val="18"/>
                <w:szCs w:val="18"/>
              </w:rPr>
            </w:pPr>
            <w:r>
              <w:rPr>
                <w:rFonts w:cs="Times New Roman"/>
                <w:sz w:val="18"/>
                <w:szCs w:val="18"/>
              </w:rPr>
              <w:t>子项</w:t>
            </w:r>
          </w:p>
        </w:tc>
        <w:tc>
          <w:tcPr>
            <w:tcW w:w="4437" w:type="dxa"/>
            <w:vAlign w:val="center"/>
          </w:tcPr>
          <w:p>
            <w:pPr>
              <w:spacing w:line="280" w:lineRule="exact"/>
              <w:jc w:val="center"/>
              <w:rPr>
                <w:rFonts w:cs="Times New Roman"/>
                <w:sz w:val="18"/>
                <w:szCs w:val="18"/>
              </w:rPr>
            </w:pPr>
            <w:r>
              <w:rPr>
                <w:rFonts w:cs="Times New Roman"/>
                <w:sz w:val="18"/>
                <w:szCs w:val="18"/>
              </w:rPr>
              <w:t>实施依据</w:t>
            </w:r>
          </w:p>
        </w:tc>
        <w:tc>
          <w:tcPr>
            <w:tcW w:w="2691" w:type="dxa"/>
            <w:vAlign w:val="center"/>
          </w:tcPr>
          <w:p>
            <w:pPr>
              <w:spacing w:line="280" w:lineRule="exact"/>
              <w:jc w:val="center"/>
              <w:rPr>
                <w:rFonts w:cs="Times New Roman"/>
                <w:sz w:val="18"/>
                <w:szCs w:val="18"/>
              </w:rPr>
            </w:pPr>
            <w:r>
              <w:rPr>
                <w:rFonts w:cs="Times New Roman"/>
                <w:sz w:val="18"/>
                <w:szCs w:val="18"/>
              </w:rPr>
              <w:t>责任事项</w:t>
            </w:r>
          </w:p>
        </w:tc>
        <w:tc>
          <w:tcPr>
            <w:tcW w:w="4674" w:type="dxa"/>
            <w:vAlign w:val="center"/>
          </w:tcPr>
          <w:p>
            <w:pPr>
              <w:spacing w:line="280" w:lineRule="exact"/>
              <w:jc w:val="center"/>
              <w:rPr>
                <w:rFonts w:cs="Times New Roman"/>
                <w:sz w:val="18"/>
                <w:szCs w:val="18"/>
              </w:rPr>
            </w:pPr>
            <w:r>
              <w:rPr>
                <w:rFonts w:cs="Times New Roman"/>
                <w:sz w:val="18"/>
                <w:szCs w:val="18"/>
              </w:rPr>
              <w:t>责任事项依据</w:t>
            </w:r>
          </w:p>
        </w:tc>
        <w:tc>
          <w:tcPr>
            <w:tcW w:w="1990" w:type="dxa"/>
            <w:vAlign w:val="center"/>
          </w:tcPr>
          <w:p>
            <w:pPr>
              <w:spacing w:line="280" w:lineRule="exact"/>
              <w:jc w:val="center"/>
              <w:rPr>
                <w:rFonts w:cs="Times New Roman"/>
                <w:sz w:val="18"/>
                <w:szCs w:val="18"/>
              </w:rPr>
            </w:pPr>
            <w:r>
              <w:rPr>
                <w:rFonts w:cs="Times New Roman"/>
                <w:sz w:val="18"/>
                <w:szCs w:val="18"/>
              </w:rPr>
              <w:t>追责情形</w:t>
            </w:r>
          </w:p>
        </w:tc>
        <w:tc>
          <w:tcPr>
            <w:tcW w:w="4674" w:type="dxa"/>
            <w:vAlign w:val="center"/>
          </w:tcPr>
          <w:p>
            <w:pPr>
              <w:spacing w:line="280" w:lineRule="exact"/>
              <w:jc w:val="center"/>
              <w:rPr>
                <w:rFonts w:cs="Times New Roman"/>
                <w:sz w:val="18"/>
                <w:szCs w:val="18"/>
              </w:rPr>
            </w:pPr>
            <w:r>
              <w:rPr>
                <w:rFonts w:cs="Times New Roman"/>
                <w:sz w:val="18"/>
                <w:szCs w:val="18"/>
              </w:rPr>
              <w:t>追责依据</w:t>
            </w:r>
          </w:p>
        </w:tc>
        <w:tc>
          <w:tcPr>
            <w:tcW w:w="611"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5" w:hRule="atLeast"/>
          <w:jc w:val="center"/>
        </w:trPr>
        <w:tc>
          <w:tcPr>
            <w:tcW w:w="752" w:type="dxa"/>
            <w:vAlign w:val="center"/>
          </w:tcPr>
          <w:p>
            <w:pPr>
              <w:spacing w:line="240" w:lineRule="exact"/>
              <w:rPr>
                <w:rFonts w:cs="Times New Roman"/>
                <w:sz w:val="18"/>
                <w:szCs w:val="18"/>
              </w:rPr>
            </w:pPr>
            <w:r>
              <w:rPr>
                <w:rFonts w:hint="eastAsia" w:cs="Times New Roman"/>
                <w:sz w:val="18"/>
                <w:szCs w:val="18"/>
              </w:rPr>
              <w:t>77</w:t>
            </w:r>
          </w:p>
        </w:tc>
        <w:tc>
          <w:tcPr>
            <w:tcW w:w="740" w:type="dxa"/>
            <w:vAlign w:val="center"/>
          </w:tcPr>
          <w:p>
            <w:pPr>
              <w:spacing w:line="240" w:lineRule="exact"/>
              <w:rPr>
                <w:rFonts w:cs="Times New Roman"/>
                <w:sz w:val="18"/>
                <w:szCs w:val="18"/>
              </w:rPr>
            </w:pPr>
            <w:r>
              <w:rPr>
                <w:rFonts w:cs="Times New Roman"/>
                <w:sz w:val="18"/>
                <w:szCs w:val="18"/>
              </w:rPr>
              <w:t>行政奖励</w:t>
            </w:r>
          </w:p>
        </w:tc>
        <w:tc>
          <w:tcPr>
            <w:tcW w:w="788" w:type="dxa"/>
            <w:vAlign w:val="center"/>
          </w:tcPr>
          <w:p>
            <w:pPr>
              <w:spacing w:line="240" w:lineRule="exact"/>
              <w:rPr>
                <w:rFonts w:cs="Times New Roman"/>
                <w:sz w:val="18"/>
                <w:szCs w:val="18"/>
              </w:rPr>
            </w:pPr>
            <w:r>
              <w:rPr>
                <w:rFonts w:cs="Times New Roman"/>
                <w:sz w:val="18"/>
                <w:szCs w:val="18"/>
              </w:rPr>
              <w:t>对森林病虫害防治工作的行政奖励</w:t>
            </w:r>
          </w:p>
        </w:tc>
        <w:tc>
          <w:tcPr>
            <w:tcW w:w="843" w:type="dxa"/>
            <w:vAlign w:val="center"/>
          </w:tcPr>
          <w:p>
            <w:pPr>
              <w:spacing w:line="240" w:lineRule="exact"/>
              <w:rPr>
                <w:rFonts w:cs="Times New Roman"/>
                <w:sz w:val="18"/>
                <w:szCs w:val="18"/>
              </w:rPr>
            </w:pPr>
            <w:r>
              <w:rPr>
                <w:rFonts w:cs="Times New Roman"/>
                <w:sz w:val="18"/>
                <w:szCs w:val="18"/>
              </w:rPr>
              <w:t>　</w:t>
            </w:r>
          </w:p>
        </w:tc>
        <w:tc>
          <w:tcPr>
            <w:tcW w:w="4437" w:type="dxa"/>
            <w:vAlign w:val="center"/>
          </w:tcPr>
          <w:p>
            <w:pPr>
              <w:spacing w:line="240" w:lineRule="exact"/>
              <w:ind w:firstLine="360" w:firstLineChars="200"/>
              <w:rPr>
                <w:rFonts w:cs="Times New Roman"/>
                <w:sz w:val="18"/>
                <w:szCs w:val="18"/>
              </w:rPr>
            </w:pPr>
            <w:r>
              <w:rPr>
                <w:rFonts w:cs="Times New Roman"/>
                <w:sz w:val="18"/>
                <w:szCs w:val="18"/>
              </w:rPr>
              <w:t>【法规】《森林病虫害防治条例》（</w:t>
            </w:r>
            <w:r>
              <w:rPr>
                <w:rFonts w:hint="eastAsia" w:cs="Times New Roman"/>
                <w:sz w:val="18"/>
                <w:szCs w:val="18"/>
              </w:rPr>
              <w:t>1989年12月18日</w:t>
            </w:r>
            <w:r>
              <w:rPr>
                <w:rFonts w:cs="Times New Roman"/>
                <w:sz w:val="18"/>
                <w:szCs w:val="18"/>
              </w:rPr>
              <w:t>国务院令46号</w:t>
            </w:r>
            <w:r>
              <w:rPr>
                <w:rFonts w:hint="eastAsia" w:cs="Times New Roman"/>
                <w:sz w:val="18"/>
                <w:szCs w:val="18"/>
              </w:rPr>
              <w:t>公布</w:t>
            </w:r>
            <w:r>
              <w:rPr>
                <w:rFonts w:cs="Times New Roman"/>
                <w:sz w:val="18"/>
                <w:szCs w:val="18"/>
              </w:rPr>
              <w:t>）第二十一条有下列成绩之一的单位和个人，由人民政府或者林业主管部门给予奖励：（一）严格执行森林病虫害防治法规，预防和除治措施得力，在本地区或者经营区域内，连续五年没有发生森林病虫害的；（二）预报病情、虫情及时准确，并提出防治森林病虫害的合理化建议，被有关部门采纳，获得显著效益的；（三）在森林病虫害防治科学研究中取得成果或者在应用推广科研成果中获得重大效益的；（四）在林业基层单位连续从事森林病虫害防治工作满十年，工作成绩较好的；（五）在森林病虫害防治工作中有其他显著成绩的。</w:t>
            </w:r>
          </w:p>
        </w:tc>
        <w:tc>
          <w:tcPr>
            <w:tcW w:w="2691" w:type="dxa"/>
            <w:vAlign w:val="center"/>
          </w:tcPr>
          <w:p>
            <w:pPr>
              <w:spacing w:line="240" w:lineRule="exact"/>
              <w:rPr>
                <w:rFonts w:cs="Times New Roman"/>
                <w:sz w:val="18"/>
                <w:szCs w:val="18"/>
              </w:rPr>
            </w:pPr>
            <w:r>
              <w:rPr>
                <w:rFonts w:cs="Times New Roman"/>
                <w:b/>
                <w:bCs/>
                <w:sz w:val="18"/>
                <w:szCs w:val="18"/>
              </w:rPr>
              <w:t xml:space="preserve">    1.制定方案责任</w:t>
            </w:r>
            <w:r>
              <w:rPr>
                <w:rFonts w:cs="Times New Roman"/>
                <w:sz w:val="18"/>
                <w:szCs w:val="18"/>
              </w:rPr>
              <w:t>：按相关规定，事先依法制定科学合理的奖励方案，对奖励条件、对象、金额和程序作出明确具体的规定，并按程序报批后实施；</w:t>
            </w:r>
            <w:r>
              <w:rPr>
                <w:rFonts w:cs="Times New Roman"/>
                <w:sz w:val="18"/>
                <w:szCs w:val="18"/>
              </w:rPr>
              <w:br w:type="textWrapping"/>
            </w:r>
            <w:r>
              <w:rPr>
                <w:rFonts w:cs="Times New Roman"/>
                <w:b/>
                <w:bCs/>
                <w:sz w:val="18"/>
                <w:szCs w:val="18"/>
              </w:rPr>
              <w:t>2.公示责任</w:t>
            </w:r>
            <w:r>
              <w:rPr>
                <w:rFonts w:cs="Times New Roman"/>
                <w:sz w:val="18"/>
                <w:szCs w:val="18"/>
              </w:rPr>
              <w:t>：公示奖励实施的方案、初步评选结果等。</w:t>
            </w:r>
            <w:r>
              <w:rPr>
                <w:rFonts w:cs="Times New Roman"/>
                <w:sz w:val="18"/>
                <w:szCs w:val="18"/>
              </w:rPr>
              <w:br w:type="textWrapping"/>
            </w:r>
            <w:r>
              <w:rPr>
                <w:rFonts w:cs="Times New Roman"/>
                <w:b/>
                <w:bCs/>
                <w:sz w:val="18"/>
                <w:szCs w:val="18"/>
              </w:rPr>
              <w:t>3.奖励责任</w:t>
            </w:r>
            <w:r>
              <w:rPr>
                <w:rFonts w:cs="Times New Roman"/>
                <w:sz w:val="18"/>
                <w:szCs w:val="18"/>
              </w:rPr>
              <w:t>：严格按照事先制定的方案，认真核实奖励对象是否符合奖励条件，对符合条件的，给予奖励。</w:t>
            </w:r>
            <w:r>
              <w:rPr>
                <w:rFonts w:cs="Times New Roman"/>
                <w:sz w:val="18"/>
                <w:szCs w:val="18"/>
              </w:rPr>
              <w:br w:type="textWrapping"/>
            </w:r>
            <w:r>
              <w:rPr>
                <w:rFonts w:cs="Times New Roman"/>
                <w:b/>
                <w:bCs/>
                <w:sz w:val="18"/>
                <w:szCs w:val="18"/>
              </w:rPr>
              <w:t>4.监管责任</w:t>
            </w:r>
            <w:r>
              <w:rPr>
                <w:rFonts w:cs="Times New Roman"/>
                <w:sz w:val="18"/>
                <w:szCs w:val="18"/>
              </w:rPr>
              <w:t>：加强监督检查；查处违规行为。</w:t>
            </w:r>
            <w:r>
              <w:rPr>
                <w:rFonts w:cs="Times New Roman"/>
                <w:sz w:val="18"/>
                <w:szCs w:val="18"/>
              </w:rPr>
              <w:br w:type="textWrapping"/>
            </w:r>
            <w:r>
              <w:rPr>
                <w:rFonts w:cs="Times New Roman"/>
                <w:b/>
                <w:bCs/>
                <w:sz w:val="18"/>
                <w:szCs w:val="18"/>
              </w:rPr>
              <w:t>5.其他法律法规规章文件规定应履行的责任。</w:t>
            </w:r>
          </w:p>
        </w:tc>
        <w:tc>
          <w:tcPr>
            <w:tcW w:w="4674" w:type="dxa"/>
            <w:vAlign w:val="center"/>
          </w:tcPr>
          <w:p>
            <w:pPr>
              <w:spacing w:line="240" w:lineRule="exact"/>
              <w:ind w:firstLine="360" w:firstLineChars="200"/>
              <w:rPr>
                <w:rFonts w:cs="Times New Roman"/>
                <w:sz w:val="18"/>
                <w:szCs w:val="18"/>
              </w:rPr>
            </w:pPr>
            <w:r>
              <w:rPr>
                <w:rFonts w:cs="Times New Roman"/>
                <w:sz w:val="18"/>
                <w:szCs w:val="18"/>
              </w:rPr>
              <w:t>1.【法规】《森林病虫害防治条例》（</w:t>
            </w:r>
            <w:r>
              <w:rPr>
                <w:rFonts w:hint="eastAsia" w:cs="Times New Roman"/>
                <w:sz w:val="18"/>
                <w:szCs w:val="18"/>
              </w:rPr>
              <w:t>1989年12月18日</w:t>
            </w:r>
            <w:r>
              <w:rPr>
                <w:rFonts w:cs="Times New Roman"/>
                <w:sz w:val="18"/>
                <w:szCs w:val="18"/>
              </w:rPr>
              <w:t>国务院令46号</w:t>
            </w:r>
            <w:r>
              <w:rPr>
                <w:rFonts w:hint="eastAsia" w:cs="Times New Roman"/>
                <w:sz w:val="18"/>
                <w:szCs w:val="18"/>
              </w:rPr>
              <w:t>公布</w:t>
            </w:r>
            <w:r>
              <w:rPr>
                <w:rFonts w:cs="Times New Roman"/>
                <w:sz w:val="18"/>
                <w:szCs w:val="18"/>
              </w:rPr>
              <w:t>）第二十一条有下列成绩之一的单位和个人，由人民政府或者林业主管部门给予奖励：（一）严格执行森林病虫害防治法规，预防和除治措施得力，在本地区或者经营区域内，连续五年没有发生森林病虫害的；（二）预报病情、虫情及时准确，并提出防治森林病虫害的合理化建议，被有关部门采纳，获得显著效益的；（三）在森林病虫害防治科学研究中取得成果或者在应用推广科研成果中获得重大效益的；（四）在林业基层单位连续从事森林病虫害防治工作满十年，工作成绩较好的；（五）在森林病虫害防治工作中有其他显著成绩的。</w:t>
            </w:r>
            <w:r>
              <w:rPr>
                <w:rFonts w:cs="Times New Roman"/>
                <w:sz w:val="18"/>
                <w:szCs w:val="18"/>
              </w:rPr>
              <w:br w:type="textWrapping"/>
            </w:r>
            <w:r>
              <w:rPr>
                <w:rFonts w:cs="Times New Roman"/>
                <w:sz w:val="18"/>
                <w:szCs w:val="18"/>
              </w:rPr>
              <w:t>2.同1.</w:t>
            </w:r>
            <w:r>
              <w:rPr>
                <w:rFonts w:cs="Times New Roman"/>
                <w:sz w:val="18"/>
                <w:szCs w:val="18"/>
              </w:rPr>
              <w:br w:type="textWrapping"/>
            </w:r>
            <w:r>
              <w:rPr>
                <w:rFonts w:cs="Times New Roman"/>
                <w:sz w:val="18"/>
                <w:szCs w:val="18"/>
              </w:rPr>
              <w:t>3.同1.</w:t>
            </w:r>
            <w:r>
              <w:rPr>
                <w:rFonts w:cs="Times New Roman"/>
                <w:sz w:val="18"/>
                <w:szCs w:val="18"/>
              </w:rPr>
              <w:br w:type="textWrapping"/>
            </w:r>
            <w:r>
              <w:rPr>
                <w:rFonts w:cs="Times New Roman"/>
                <w:sz w:val="18"/>
                <w:szCs w:val="18"/>
              </w:rPr>
              <w:t>4.同1.</w:t>
            </w:r>
          </w:p>
        </w:tc>
        <w:tc>
          <w:tcPr>
            <w:tcW w:w="1990"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因不履行或不正确履行行政职责，有下列情形的，行政机关及其工作人员应承担相应责任：</w:t>
            </w:r>
            <w:r>
              <w:rPr>
                <w:rFonts w:cs="Times New Roman"/>
                <w:sz w:val="18"/>
                <w:szCs w:val="18"/>
              </w:rPr>
              <w:br w:type="textWrapping"/>
            </w:r>
            <w:r>
              <w:rPr>
                <w:rFonts w:cs="Times New Roman"/>
                <w:sz w:val="18"/>
                <w:szCs w:val="18"/>
              </w:rPr>
              <w:t>1玩忽职守、贻误工作的行为</w:t>
            </w:r>
            <w:r>
              <w:rPr>
                <w:rFonts w:hint="eastAsia" w:cs="Times New Roman"/>
                <w:sz w:val="18"/>
                <w:szCs w:val="18"/>
              </w:rPr>
              <w:t>，</w:t>
            </w:r>
            <w:r>
              <w:rPr>
                <w:rFonts w:cs="Times New Roman"/>
                <w:sz w:val="18"/>
                <w:szCs w:val="18"/>
              </w:rPr>
              <w:t>符合奖励条件而审核不通过或不符合奖励条件而违规予以审查通过的；</w:t>
            </w:r>
            <w:r>
              <w:rPr>
                <w:rFonts w:cs="Times New Roman"/>
                <w:sz w:val="18"/>
                <w:szCs w:val="18"/>
              </w:rPr>
              <w:br w:type="textWrapping"/>
            </w:r>
            <w:r>
              <w:rPr>
                <w:rFonts w:cs="Times New Roman"/>
                <w:sz w:val="18"/>
                <w:szCs w:val="18"/>
              </w:rPr>
              <w:t>2.不按程序研究决定或决定错误或显失公平的；</w:t>
            </w:r>
            <w:r>
              <w:rPr>
                <w:rFonts w:cs="Times New Roman"/>
                <w:sz w:val="18"/>
                <w:szCs w:val="18"/>
              </w:rPr>
              <w:br w:type="textWrapping"/>
            </w:r>
            <w:r>
              <w:rPr>
                <w:rFonts w:cs="Times New Roman"/>
                <w:sz w:val="18"/>
                <w:szCs w:val="18"/>
              </w:rPr>
              <w:t>3.不及时兑现奖励或收取回扣的；</w:t>
            </w:r>
            <w:r>
              <w:rPr>
                <w:rFonts w:cs="Times New Roman"/>
                <w:sz w:val="18"/>
                <w:szCs w:val="18"/>
              </w:rPr>
              <w:br w:type="textWrapping"/>
            </w:r>
            <w:r>
              <w:rPr>
                <w:rFonts w:cs="Times New Roman"/>
                <w:sz w:val="18"/>
                <w:szCs w:val="18"/>
              </w:rPr>
              <w:t>4.工作中滥用职权、徇私舞弊、玩忽职守造成不良后果的；</w:t>
            </w:r>
            <w:r>
              <w:rPr>
                <w:rFonts w:cs="Times New Roman"/>
                <w:sz w:val="18"/>
                <w:szCs w:val="18"/>
              </w:rPr>
              <w:br w:type="textWrapping"/>
            </w:r>
            <w:r>
              <w:rPr>
                <w:rFonts w:cs="Times New Roman"/>
                <w:sz w:val="18"/>
                <w:szCs w:val="18"/>
              </w:rPr>
              <w:t>5.工作中发生贪污腐败行为的；</w:t>
            </w:r>
            <w:r>
              <w:rPr>
                <w:rFonts w:cs="Times New Roman"/>
                <w:sz w:val="18"/>
                <w:szCs w:val="18"/>
              </w:rPr>
              <w:br w:type="textWrapping"/>
            </w:r>
            <w:r>
              <w:rPr>
                <w:rFonts w:cs="Times New Roman"/>
                <w:sz w:val="18"/>
                <w:szCs w:val="18"/>
              </w:rPr>
              <w:t>6.其他违反法律法规规章文件规定的行为。</w:t>
            </w:r>
          </w:p>
        </w:tc>
        <w:tc>
          <w:tcPr>
            <w:tcW w:w="4674" w:type="dxa"/>
            <w:vAlign w:val="center"/>
          </w:tcPr>
          <w:p>
            <w:pPr>
              <w:spacing w:line="240" w:lineRule="exact"/>
              <w:ind w:firstLine="360" w:firstLineChars="200"/>
              <w:rPr>
                <w:rFonts w:cs="Times New Roman"/>
                <w:sz w:val="18"/>
                <w:szCs w:val="18"/>
              </w:rPr>
            </w:pPr>
            <w:r>
              <w:rPr>
                <w:rFonts w:cs="Times New Roman"/>
                <w:sz w:val="18"/>
                <w:szCs w:val="18"/>
              </w:rPr>
              <w:t>1.【法规】《行政机关公务员处分条例》（2007年国务院令第495号</w:t>
            </w:r>
            <w:r>
              <w:rPr>
                <w:rFonts w:hint="eastAsia" w:cs="Times New Roman"/>
                <w:sz w:val="18"/>
                <w:szCs w:val="18"/>
              </w:rPr>
              <w:t>公布</w:t>
            </w:r>
            <w:r>
              <w:rPr>
                <w:rFonts w:cs="Times New Roman"/>
                <w:sz w:val="18"/>
                <w:szCs w:val="18"/>
              </w:rPr>
              <w:t>）第二十条有下列行为之一的，给予记过、记大过处分；情节较重的，给予降级或者撤职处分；情节严重的，给予开除处分：（四）其他玩忽职守、贻误工作的行为。</w:t>
            </w:r>
            <w:r>
              <w:rPr>
                <w:rFonts w:cs="Times New Roman"/>
                <w:sz w:val="18"/>
                <w:szCs w:val="18"/>
              </w:rPr>
              <w:br w:type="textWrapping"/>
            </w:r>
            <w:r>
              <w:rPr>
                <w:rFonts w:cs="Times New Roman"/>
                <w:sz w:val="18"/>
                <w:szCs w:val="18"/>
              </w:rPr>
              <w:t>2.同1.</w:t>
            </w:r>
            <w:r>
              <w:rPr>
                <w:rFonts w:cs="Times New Roman"/>
                <w:sz w:val="18"/>
                <w:szCs w:val="18"/>
              </w:rPr>
              <w:br w:type="textWrapping"/>
            </w:r>
            <w:r>
              <w:rPr>
                <w:rFonts w:cs="Times New Roman"/>
                <w:sz w:val="18"/>
                <w:szCs w:val="18"/>
              </w:rPr>
              <w:t>3.【法规】《行政机关公务员处分条例》（2007年国务院令第495号</w:t>
            </w:r>
            <w:r>
              <w:rPr>
                <w:rFonts w:hint="eastAsia" w:cs="Times New Roman"/>
                <w:sz w:val="18"/>
                <w:szCs w:val="18"/>
              </w:rPr>
              <w:t>公布</w:t>
            </w:r>
            <w:r>
              <w:rPr>
                <w:rFonts w:cs="Times New Roman"/>
                <w:sz w:val="18"/>
                <w:szCs w:val="18"/>
              </w:rPr>
              <w:t>）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cs="Times New Roman"/>
                <w:sz w:val="18"/>
                <w:szCs w:val="18"/>
              </w:rPr>
              <w:br w:type="textWrapping"/>
            </w:r>
            <w:r>
              <w:rPr>
                <w:rFonts w:cs="Times New Roman"/>
                <w:sz w:val="18"/>
                <w:szCs w:val="18"/>
              </w:rPr>
              <w:t>4.同1.</w:t>
            </w:r>
            <w:r>
              <w:rPr>
                <w:rFonts w:cs="Times New Roman"/>
                <w:sz w:val="18"/>
                <w:szCs w:val="18"/>
              </w:rPr>
              <w:br w:type="textWrapping"/>
            </w:r>
            <w:r>
              <w:rPr>
                <w:rFonts w:cs="Times New Roman"/>
                <w:sz w:val="18"/>
                <w:szCs w:val="18"/>
              </w:rPr>
              <w:t>5.同3.</w:t>
            </w:r>
          </w:p>
        </w:tc>
        <w:tc>
          <w:tcPr>
            <w:tcW w:w="611"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705"/>
        <w:gridCol w:w="756"/>
        <w:gridCol w:w="810"/>
        <w:gridCol w:w="4503"/>
        <w:gridCol w:w="2707"/>
        <w:gridCol w:w="4704"/>
        <w:gridCol w:w="2003"/>
        <w:gridCol w:w="4704"/>
        <w:gridCol w:w="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834" w:type="dxa"/>
            <w:vAlign w:val="center"/>
          </w:tcPr>
          <w:p>
            <w:pPr>
              <w:spacing w:line="280" w:lineRule="exact"/>
              <w:jc w:val="center"/>
              <w:rPr>
                <w:rFonts w:cs="Times New Roman"/>
                <w:sz w:val="18"/>
                <w:szCs w:val="18"/>
              </w:rPr>
            </w:pPr>
            <w:r>
              <w:rPr>
                <w:rFonts w:cs="Times New Roman"/>
                <w:sz w:val="18"/>
                <w:szCs w:val="18"/>
              </w:rPr>
              <w:t>序号</w:t>
            </w:r>
          </w:p>
        </w:tc>
        <w:tc>
          <w:tcPr>
            <w:tcW w:w="705" w:type="dxa"/>
            <w:vAlign w:val="center"/>
          </w:tcPr>
          <w:p>
            <w:pPr>
              <w:spacing w:line="280" w:lineRule="exact"/>
              <w:jc w:val="center"/>
              <w:rPr>
                <w:rFonts w:cs="Times New Roman"/>
                <w:sz w:val="18"/>
                <w:szCs w:val="18"/>
              </w:rPr>
            </w:pPr>
            <w:r>
              <w:rPr>
                <w:rFonts w:cs="Times New Roman"/>
                <w:sz w:val="18"/>
                <w:szCs w:val="18"/>
              </w:rPr>
              <w:t>权力分类</w:t>
            </w:r>
          </w:p>
        </w:tc>
        <w:tc>
          <w:tcPr>
            <w:tcW w:w="756" w:type="dxa"/>
            <w:vAlign w:val="center"/>
          </w:tcPr>
          <w:p>
            <w:pPr>
              <w:spacing w:line="280" w:lineRule="exact"/>
              <w:jc w:val="center"/>
              <w:rPr>
                <w:rFonts w:cs="Times New Roman"/>
                <w:sz w:val="18"/>
                <w:szCs w:val="18"/>
              </w:rPr>
            </w:pPr>
            <w:r>
              <w:rPr>
                <w:rFonts w:cs="Times New Roman"/>
                <w:sz w:val="18"/>
                <w:szCs w:val="18"/>
              </w:rPr>
              <w:t>项目名称</w:t>
            </w:r>
          </w:p>
        </w:tc>
        <w:tc>
          <w:tcPr>
            <w:tcW w:w="810" w:type="dxa"/>
            <w:vAlign w:val="center"/>
          </w:tcPr>
          <w:p>
            <w:pPr>
              <w:spacing w:line="280" w:lineRule="exact"/>
              <w:jc w:val="center"/>
              <w:rPr>
                <w:rFonts w:cs="Times New Roman"/>
                <w:sz w:val="18"/>
                <w:szCs w:val="18"/>
              </w:rPr>
            </w:pPr>
            <w:r>
              <w:rPr>
                <w:rFonts w:cs="Times New Roman"/>
                <w:sz w:val="18"/>
                <w:szCs w:val="18"/>
              </w:rPr>
              <w:t>子项</w:t>
            </w:r>
          </w:p>
        </w:tc>
        <w:tc>
          <w:tcPr>
            <w:tcW w:w="4503" w:type="dxa"/>
            <w:vAlign w:val="center"/>
          </w:tcPr>
          <w:p>
            <w:pPr>
              <w:spacing w:line="280" w:lineRule="exact"/>
              <w:jc w:val="center"/>
              <w:rPr>
                <w:rFonts w:cs="Times New Roman"/>
                <w:sz w:val="18"/>
                <w:szCs w:val="18"/>
              </w:rPr>
            </w:pPr>
            <w:r>
              <w:rPr>
                <w:rFonts w:cs="Times New Roman"/>
                <w:sz w:val="18"/>
                <w:szCs w:val="18"/>
              </w:rPr>
              <w:t>实施依据</w:t>
            </w:r>
          </w:p>
        </w:tc>
        <w:tc>
          <w:tcPr>
            <w:tcW w:w="2707" w:type="dxa"/>
            <w:vAlign w:val="center"/>
          </w:tcPr>
          <w:p>
            <w:pPr>
              <w:spacing w:line="280" w:lineRule="exact"/>
              <w:jc w:val="center"/>
              <w:rPr>
                <w:rFonts w:cs="Times New Roman"/>
                <w:sz w:val="18"/>
                <w:szCs w:val="18"/>
              </w:rPr>
            </w:pPr>
            <w:r>
              <w:rPr>
                <w:rFonts w:cs="Times New Roman"/>
                <w:sz w:val="18"/>
                <w:szCs w:val="18"/>
              </w:rPr>
              <w:t>责任事项</w:t>
            </w:r>
          </w:p>
        </w:tc>
        <w:tc>
          <w:tcPr>
            <w:tcW w:w="4704" w:type="dxa"/>
            <w:vAlign w:val="center"/>
          </w:tcPr>
          <w:p>
            <w:pPr>
              <w:spacing w:line="280" w:lineRule="exact"/>
              <w:jc w:val="center"/>
              <w:rPr>
                <w:rFonts w:cs="Times New Roman"/>
                <w:sz w:val="18"/>
                <w:szCs w:val="18"/>
              </w:rPr>
            </w:pPr>
            <w:r>
              <w:rPr>
                <w:rFonts w:cs="Times New Roman"/>
                <w:sz w:val="18"/>
                <w:szCs w:val="18"/>
              </w:rPr>
              <w:t>责任事项依据</w:t>
            </w:r>
          </w:p>
        </w:tc>
        <w:tc>
          <w:tcPr>
            <w:tcW w:w="2003" w:type="dxa"/>
            <w:vAlign w:val="center"/>
          </w:tcPr>
          <w:p>
            <w:pPr>
              <w:spacing w:line="280" w:lineRule="exact"/>
              <w:jc w:val="center"/>
              <w:rPr>
                <w:rFonts w:cs="Times New Roman"/>
                <w:sz w:val="18"/>
                <w:szCs w:val="18"/>
              </w:rPr>
            </w:pPr>
            <w:r>
              <w:rPr>
                <w:rFonts w:cs="Times New Roman"/>
                <w:sz w:val="18"/>
                <w:szCs w:val="18"/>
              </w:rPr>
              <w:t>追责情形</w:t>
            </w:r>
          </w:p>
        </w:tc>
        <w:tc>
          <w:tcPr>
            <w:tcW w:w="4704" w:type="dxa"/>
            <w:vAlign w:val="center"/>
          </w:tcPr>
          <w:p>
            <w:pPr>
              <w:spacing w:line="280" w:lineRule="exact"/>
              <w:jc w:val="center"/>
              <w:rPr>
                <w:rFonts w:cs="Times New Roman"/>
                <w:sz w:val="18"/>
                <w:szCs w:val="18"/>
              </w:rPr>
            </w:pPr>
            <w:r>
              <w:rPr>
                <w:rFonts w:cs="Times New Roman"/>
                <w:sz w:val="18"/>
                <w:szCs w:val="18"/>
              </w:rPr>
              <w:t>追责依据</w:t>
            </w:r>
          </w:p>
        </w:tc>
        <w:tc>
          <w:tcPr>
            <w:tcW w:w="614"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1" w:hRule="atLeast"/>
          <w:jc w:val="center"/>
        </w:trPr>
        <w:tc>
          <w:tcPr>
            <w:tcW w:w="834" w:type="dxa"/>
            <w:vAlign w:val="center"/>
          </w:tcPr>
          <w:p>
            <w:pPr>
              <w:spacing w:line="240" w:lineRule="exact"/>
              <w:rPr>
                <w:rFonts w:cs="Times New Roman"/>
                <w:sz w:val="18"/>
                <w:szCs w:val="18"/>
              </w:rPr>
            </w:pPr>
            <w:r>
              <w:rPr>
                <w:rFonts w:hint="eastAsia" w:cs="Times New Roman"/>
                <w:sz w:val="18"/>
                <w:szCs w:val="18"/>
              </w:rPr>
              <w:t>78</w:t>
            </w:r>
          </w:p>
        </w:tc>
        <w:tc>
          <w:tcPr>
            <w:tcW w:w="705" w:type="dxa"/>
            <w:vAlign w:val="center"/>
          </w:tcPr>
          <w:p>
            <w:pPr>
              <w:spacing w:line="240" w:lineRule="exact"/>
              <w:rPr>
                <w:rFonts w:cs="Times New Roman"/>
                <w:sz w:val="18"/>
                <w:szCs w:val="18"/>
              </w:rPr>
            </w:pPr>
            <w:r>
              <w:rPr>
                <w:rFonts w:cs="Times New Roman"/>
                <w:sz w:val="18"/>
                <w:szCs w:val="18"/>
              </w:rPr>
              <w:t>行政奖励</w:t>
            </w:r>
          </w:p>
        </w:tc>
        <w:tc>
          <w:tcPr>
            <w:tcW w:w="756" w:type="dxa"/>
            <w:vAlign w:val="center"/>
          </w:tcPr>
          <w:p>
            <w:pPr>
              <w:spacing w:line="240" w:lineRule="exact"/>
              <w:rPr>
                <w:rFonts w:cs="Times New Roman"/>
                <w:sz w:val="18"/>
                <w:szCs w:val="18"/>
              </w:rPr>
            </w:pPr>
            <w:r>
              <w:rPr>
                <w:rFonts w:cs="Times New Roman"/>
                <w:sz w:val="18"/>
                <w:szCs w:val="18"/>
              </w:rPr>
              <w:t>对森林消防先进集体与个人表彰</w:t>
            </w:r>
          </w:p>
        </w:tc>
        <w:tc>
          <w:tcPr>
            <w:tcW w:w="810" w:type="dxa"/>
            <w:vAlign w:val="center"/>
          </w:tcPr>
          <w:p>
            <w:pPr>
              <w:spacing w:line="240" w:lineRule="exact"/>
              <w:rPr>
                <w:rFonts w:cs="Times New Roman"/>
                <w:sz w:val="18"/>
                <w:szCs w:val="18"/>
              </w:rPr>
            </w:pPr>
            <w:r>
              <w:rPr>
                <w:rFonts w:cs="Times New Roman"/>
                <w:sz w:val="18"/>
                <w:szCs w:val="18"/>
              </w:rPr>
              <w:t>　</w:t>
            </w:r>
          </w:p>
        </w:tc>
        <w:tc>
          <w:tcPr>
            <w:tcW w:w="4503" w:type="dxa"/>
            <w:vAlign w:val="center"/>
          </w:tcPr>
          <w:p>
            <w:pPr>
              <w:spacing w:line="240" w:lineRule="exact"/>
              <w:ind w:firstLine="360" w:firstLineChars="200"/>
              <w:rPr>
                <w:rFonts w:cs="Times New Roman"/>
                <w:sz w:val="18"/>
                <w:szCs w:val="18"/>
              </w:rPr>
            </w:pPr>
            <w:r>
              <w:rPr>
                <w:rFonts w:cs="Times New Roman"/>
                <w:sz w:val="18"/>
                <w:szCs w:val="18"/>
              </w:rPr>
              <w:t>【法规】《森林防火条例》（1988年1月16日国务院公布，2008年12月1日予以修改）第十二条对在森林防火工作中作出突出成绩的单位和个人，按照国家有关规定，给予表彰和奖励。对在扑救重大、特别重大森林火灾中表现突出的单位和个人，可以由森林防火指挥机构当场给予表彰和奖励。</w:t>
            </w:r>
          </w:p>
        </w:tc>
        <w:tc>
          <w:tcPr>
            <w:tcW w:w="2707" w:type="dxa"/>
            <w:vAlign w:val="center"/>
          </w:tcPr>
          <w:p>
            <w:pPr>
              <w:spacing w:line="240" w:lineRule="exact"/>
              <w:rPr>
                <w:rFonts w:cs="Times New Roman"/>
                <w:sz w:val="18"/>
                <w:szCs w:val="18"/>
              </w:rPr>
            </w:pPr>
            <w:r>
              <w:rPr>
                <w:rFonts w:cs="Times New Roman"/>
                <w:b/>
                <w:bCs/>
                <w:sz w:val="18"/>
                <w:szCs w:val="18"/>
              </w:rPr>
              <w:t xml:space="preserve">    1.制定方案责任</w:t>
            </w:r>
            <w:r>
              <w:rPr>
                <w:rFonts w:cs="Times New Roman"/>
                <w:sz w:val="18"/>
                <w:szCs w:val="18"/>
              </w:rPr>
              <w:t>：按相关规定，事先依法制定科学合理的奖励方案，对奖励条件、对象、金额和程序作出明确具体的规定，并按程序报批后实施；</w:t>
            </w:r>
            <w:r>
              <w:rPr>
                <w:rFonts w:cs="Times New Roman"/>
                <w:sz w:val="18"/>
                <w:szCs w:val="18"/>
              </w:rPr>
              <w:br w:type="textWrapping"/>
            </w:r>
            <w:r>
              <w:rPr>
                <w:rFonts w:cs="Times New Roman"/>
                <w:b/>
                <w:bCs/>
                <w:sz w:val="18"/>
                <w:szCs w:val="18"/>
              </w:rPr>
              <w:t>2.公示责任</w:t>
            </w:r>
            <w:r>
              <w:rPr>
                <w:rFonts w:cs="Times New Roman"/>
                <w:sz w:val="18"/>
                <w:szCs w:val="18"/>
              </w:rPr>
              <w:t>：公示奖励实施的方案、初步评选结果等。</w:t>
            </w:r>
            <w:r>
              <w:rPr>
                <w:rFonts w:cs="Times New Roman"/>
                <w:sz w:val="18"/>
                <w:szCs w:val="18"/>
              </w:rPr>
              <w:br w:type="textWrapping"/>
            </w:r>
            <w:r>
              <w:rPr>
                <w:rFonts w:cs="Times New Roman"/>
                <w:b/>
                <w:bCs/>
                <w:sz w:val="18"/>
                <w:szCs w:val="18"/>
              </w:rPr>
              <w:t>3.奖励责任</w:t>
            </w:r>
            <w:r>
              <w:rPr>
                <w:rFonts w:cs="Times New Roman"/>
                <w:sz w:val="18"/>
                <w:szCs w:val="18"/>
              </w:rPr>
              <w:t>：严格按照事先制定的方案，认真核实奖励对象是否符合奖励条件，对符合条件的，给予奖励。</w:t>
            </w:r>
            <w:r>
              <w:rPr>
                <w:rFonts w:cs="Times New Roman"/>
                <w:sz w:val="18"/>
                <w:szCs w:val="18"/>
              </w:rPr>
              <w:br w:type="textWrapping"/>
            </w:r>
            <w:r>
              <w:rPr>
                <w:rFonts w:cs="Times New Roman"/>
                <w:b/>
                <w:bCs/>
                <w:sz w:val="18"/>
                <w:szCs w:val="18"/>
              </w:rPr>
              <w:t>4.监管责任</w:t>
            </w:r>
            <w:r>
              <w:rPr>
                <w:rFonts w:cs="Times New Roman"/>
                <w:sz w:val="18"/>
                <w:szCs w:val="18"/>
              </w:rPr>
              <w:t>：加强监督检查；查处违规行为。</w:t>
            </w:r>
            <w:r>
              <w:rPr>
                <w:rFonts w:cs="Times New Roman"/>
                <w:sz w:val="18"/>
                <w:szCs w:val="18"/>
              </w:rPr>
              <w:br w:type="textWrapping"/>
            </w:r>
            <w:r>
              <w:rPr>
                <w:rFonts w:cs="Times New Roman"/>
                <w:b/>
                <w:bCs/>
                <w:sz w:val="18"/>
                <w:szCs w:val="18"/>
              </w:rPr>
              <w:t>5.其他法律法规规章文件规定应履行的责任。</w:t>
            </w:r>
          </w:p>
        </w:tc>
        <w:tc>
          <w:tcPr>
            <w:tcW w:w="4704" w:type="dxa"/>
            <w:vAlign w:val="center"/>
          </w:tcPr>
          <w:p>
            <w:pPr>
              <w:spacing w:line="240" w:lineRule="exact"/>
              <w:ind w:firstLine="360" w:firstLineChars="200"/>
              <w:rPr>
                <w:rFonts w:cs="Times New Roman"/>
                <w:sz w:val="18"/>
                <w:szCs w:val="18"/>
              </w:rPr>
            </w:pPr>
            <w:r>
              <w:rPr>
                <w:rFonts w:cs="Times New Roman"/>
                <w:sz w:val="18"/>
                <w:szCs w:val="18"/>
              </w:rPr>
              <w:t>1.【法规】《森林防火条例》（1988年1月16日国务院公布，2008年12月1日予以修改）第十二条对在森林防火工作中作出突出成绩的单位和个人，按照国家有关规定，给予表彰和奖励。对在扑救重大、特别重大森林火灾中表现突出的单位和个人，可以由森林防火指挥机构当场给予表彰和奖励。</w:t>
            </w:r>
            <w:r>
              <w:rPr>
                <w:rFonts w:cs="Times New Roman"/>
                <w:sz w:val="18"/>
                <w:szCs w:val="18"/>
              </w:rPr>
              <w:br w:type="textWrapping"/>
            </w:r>
            <w:r>
              <w:rPr>
                <w:rFonts w:cs="Times New Roman"/>
                <w:sz w:val="18"/>
                <w:szCs w:val="18"/>
              </w:rPr>
              <w:t>2.同1.</w:t>
            </w:r>
            <w:r>
              <w:rPr>
                <w:rFonts w:cs="Times New Roman"/>
                <w:sz w:val="18"/>
                <w:szCs w:val="18"/>
              </w:rPr>
              <w:br w:type="textWrapping"/>
            </w:r>
            <w:r>
              <w:rPr>
                <w:rFonts w:cs="Times New Roman"/>
                <w:sz w:val="18"/>
                <w:szCs w:val="18"/>
              </w:rPr>
              <w:t>3.同1.</w:t>
            </w:r>
            <w:r>
              <w:rPr>
                <w:rFonts w:cs="Times New Roman"/>
                <w:sz w:val="18"/>
                <w:szCs w:val="18"/>
              </w:rPr>
              <w:br w:type="textWrapping"/>
            </w:r>
            <w:r>
              <w:rPr>
                <w:rFonts w:cs="Times New Roman"/>
                <w:sz w:val="18"/>
                <w:szCs w:val="18"/>
              </w:rPr>
              <w:t>4.同1.</w:t>
            </w:r>
          </w:p>
        </w:tc>
        <w:tc>
          <w:tcPr>
            <w:tcW w:w="2003"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因不履行或不正确履行行政职责，有下列情形的，行政机关及其工作人员应承担相应责任：</w:t>
            </w:r>
            <w:r>
              <w:rPr>
                <w:rFonts w:cs="Times New Roman"/>
                <w:sz w:val="18"/>
                <w:szCs w:val="18"/>
              </w:rPr>
              <w:br w:type="textWrapping"/>
            </w:r>
            <w:r>
              <w:rPr>
                <w:rFonts w:cs="Times New Roman"/>
                <w:sz w:val="18"/>
                <w:szCs w:val="18"/>
              </w:rPr>
              <w:t>1.玩忽职守、贻误工作的行为</w:t>
            </w:r>
            <w:r>
              <w:rPr>
                <w:rFonts w:hint="eastAsia" w:cs="Times New Roman"/>
                <w:sz w:val="18"/>
                <w:szCs w:val="18"/>
              </w:rPr>
              <w:t>，</w:t>
            </w:r>
            <w:r>
              <w:rPr>
                <w:rFonts w:cs="Times New Roman"/>
                <w:sz w:val="18"/>
                <w:szCs w:val="18"/>
              </w:rPr>
              <w:t>符合奖励条件而审核不通过或不符合奖励条件而违规予以审查通过的；</w:t>
            </w:r>
            <w:r>
              <w:rPr>
                <w:rFonts w:cs="Times New Roman"/>
                <w:sz w:val="18"/>
                <w:szCs w:val="18"/>
              </w:rPr>
              <w:br w:type="textWrapping"/>
            </w:r>
            <w:r>
              <w:rPr>
                <w:rFonts w:cs="Times New Roman"/>
                <w:sz w:val="18"/>
                <w:szCs w:val="18"/>
              </w:rPr>
              <w:t>2.不按程序研究决定或决定错误或显失公平的；</w:t>
            </w:r>
            <w:r>
              <w:rPr>
                <w:rFonts w:cs="Times New Roman"/>
                <w:sz w:val="18"/>
                <w:szCs w:val="18"/>
              </w:rPr>
              <w:br w:type="textWrapping"/>
            </w:r>
            <w:r>
              <w:rPr>
                <w:rFonts w:cs="Times New Roman"/>
                <w:sz w:val="18"/>
                <w:szCs w:val="18"/>
              </w:rPr>
              <w:t>3.不及时兑现奖励或收取回扣的；</w:t>
            </w:r>
            <w:r>
              <w:rPr>
                <w:rFonts w:cs="Times New Roman"/>
                <w:sz w:val="18"/>
                <w:szCs w:val="18"/>
              </w:rPr>
              <w:br w:type="textWrapping"/>
            </w:r>
            <w:r>
              <w:rPr>
                <w:rFonts w:cs="Times New Roman"/>
                <w:sz w:val="18"/>
                <w:szCs w:val="18"/>
              </w:rPr>
              <w:t>4.工作中滥用职权、徇私舞弊、玩忽职守造成不良后果的；</w:t>
            </w:r>
            <w:r>
              <w:rPr>
                <w:rFonts w:cs="Times New Roman"/>
                <w:sz w:val="18"/>
                <w:szCs w:val="18"/>
              </w:rPr>
              <w:br w:type="textWrapping"/>
            </w:r>
            <w:r>
              <w:rPr>
                <w:rFonts w:cs="Times New Roman"/>
                <w:sz w:val="18"/>
                <w:szCs w:val="18"/>
              </w:rPr>
              <w:t>5.工作中发生贪污腐败行为的；</w:t>
            </w:r>
            <w:r>
              <w:rPr>
                <w:rFonts w:cs="Times New Roman"/>
                <w:sz w:val="18"/>
                <w:szCs w:val="18"/>
              </w:rPr>
              <w:br w:type="textWrapping"/>
            </w:r>
            <w:r>
              <w:rPr>
                <w:rFonts w:cs="Times New Roman"/>
                <w:sz w:val="18"/>
                <w:szCs w:val="18"/>
              </w:rPr>
              <w:t>6.其他违反法律法规规章文件规定的行为。</w:t>
            </w:r>
          </w:p>
        </w:tc>
        <w:tc>
          <w:tcPr>
            <w:tcW w:w="4704" w:type="dxa"/>
            <w:vAlign w:val="center"/>
          </w:tcPr>
          <w:p>
            <w:pPr>
              <w:spacing w:line="240" w:lineRule="exact"/>
              <w:ind w:firstLine="360" w:firstLineChars="200"/>
              <w:rPr>
                <w:rFonts w:cs="Times New Roman"/>
                <w:sz w:val="18"/>
                <w:szCs w:val="18"/>
              </w:rPr>
            </w:pPr>
            <w:r>
              <w:rPr>
                <w:rFonts w:cs="Times New Roman"/>
                <w:sz w:val="18"/>
                <w:szCs w:val="18"/>
              </w:rPr>
              <w:t>1.【法规】《行政机关公务员处分条例》（2007年国务院令第495号）第二十条有下列行为之一的，给予记过、记大过处分；情节较重的，给予降级或者撤职处分；情节严重的，给予开除处分：（四）其他玩忽职守、贻误工作的行为。</w:t>
            </w:r>
            <w:r>
              <w:rPr>
                <w:rFonts w:cs="Times New Roman"/>
                <w:sz w:val="18"/>
                <w:szCs w:val="18"/>
              </w:rPr>
              <w:br w:type="textWrapping"/>
            </w:r>
            <w:r>
              <w:rPr>
                <w:rFonts w:cs="Times New Roman"/>
                <w:sz w:val="18"/>
                <w:szCs w:val="18"/>
              </w:rPr>
              <w:t>2.同1.</w:t>
            </w:r>
            <w:r>
              <w:rPr>
                <w:rFonts w:cs="Times New Roman"/>
                <w:sz w:val="18"/>
                <w:szCs w:val="18"/>
              </w:rPr>
              <w:br w:type="textWrapping"/>
            </w:r>
            <w:r>
              <w:rPr>
                <w:rFonts w:cs="Times New Roman"/>
                <w:sz w:val="18"/>
                <w:szCs w:val="18"/>
              </w:rPr>
              <w:t>3.【法规】《行政机关公务员处分条例》（2007年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cs="Times New Roman"/>
                <w:sz w:val="18"/>
                <w:szCs w:val="18"/>
              </w:rPr>
              <w:br w:type="textWrapping"/>
            </w:r>
            <w:r>
              <w:rPr>
                <w:rFonts w:cs="Times New Roman"/>
                <w:sz w:val="18"/>
                <w:szCs w:val="18"/>
              </w:rPr>
              <w:t>4.同1.</w:t>
            </w:r>
            <w:r>
              <w:rPr>
                <w:rFonts w:cs="Times New Roman"/>
                <w:sz w:val="18"/>
                <w:szCs w:val="18"/>
              </w:rPr>
              <w:br w:type="textWrapping"/>
            </w:r>
            <w:r>
              <w:rPr>
                <w:rFonts w:cs="Times New Roman"/>
                <w:sz w:val="18"/>
                <w:szCs w:val="18"/>
              </w:rPr>
              <w:t>5.同3.</w:t>
            </w:r>
          </w:p>
        </w:tc>
        <w:tc>
          <w:tcPr>
            <w:tcW w:w="614"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742"/>
        <w:gridCol w:w="752"/>
        <w:gridCol w:w="808"/>
        <w:gridCol w:w="4486"/>
        <w:gridCol w:w="2698"/>
        <w:gridCol w:w="4687"/>
        <w:gridCol w:w="1996"/>
        <w:gridCol w:w="4687"/>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792" w:type="dxa"/>
            <w:vAlign w:val="center"/>
          </w:tcPr>
          <w:p>
            <w:pPr>
              <w:spacing w:line="280" w:lineRule="exact"/>
              <w:jc w:val="center"/>
              <w:rPr>
                <w:rFonts w:cs="Times New Roman"/>
                <w:sz w:val="18"/>
                <w:szCs w:val="18"/>
              </w:rPr>
            </w:pPr>
            <w:r>
              <w:rPr>
                <w:rFonts w:cs="Times New Roman"/>
                <w:sz w:val="18"/>
                <w:szCs w:val="18"/>
              </w:rPr>
              <w:t>序号</w:t>
            </w:r>
          </w:p>
        </w:tc>
        <w:tc>
          <w:tcPr>
            <w:tcW w:w="742" w:type="dxa"/>
            <w:vAlign w:val="center"/>
          </w:tcPr>
          <w:p>
            <w:pPr>
              <w:spacing w:line="280" w:lineRule="exact"/>
              <w:jc w:val="center"/>
              <w:rPr>
                <w:rFonts w:cs="Times New Roman"/>
                <w:sz w:val="18"/>
                <w:szCs w:val="18"/>
              </w:rPr>
            </w:pPr>
            <w:r>
              <w:rPr>
                <w:rFonts w:cs="Times New Roman"/>
                <w:sz w:val="18"/>
                <w:szCs w:val="18"/>
              </w:rPr>
              <w:t>权力分类</w:t>
            </w:r>
          </w:p>
        </w:tc>
        <w:tc>
          <w:tcPr>
            <w:tcW w:w="752" w:type="dxa"/>
            <w:vAlign w:val="center"/>
          </w:tcPr>
          <w:p>
            <w:pPr>
              <w:spacing w:line="280" w:lineRule="exact"/>
              <w:jc w:val="center"/>
              <w:rPr>
                <w:rFonts w:cs="Times New Roman"/>
                <w:sz w:val="18"/>
                <w:szCs w:val="18"/>
              </w:rPr>
            </w:pPr>
            <w:r>
              <w:rPr>
                <w:rFonts w:cs="Times New Roman"/>
                <w:sz w:val="18"/>
                <w:szCs w:val="18"/>
              </w:rPr>
              <w:t>项目名称</w:t>
            </w:r>
          </w:p>
        </w:tc>
        <w:tc>
          <w:tcPr>
            <w:tcW w:w="808" w:type="dxa"/>
            <w:vAlign w:val="center"/>
          </w:tcPr>
          <w:p>
            <w:pPr>
              <w:spacing w:line="280" w:lineRule="exact"/>
              <w:jc w:val="center"/>
              <w:rPr>
                <w:rFonts w:cs="Times New Roman"/>
                <w:sz w:val="18"/>
                <w:szCs w:val="18"/>
              </w:rPr>
            </w:pPr>
            <w:r>
              <w:rPr>
                <w:rFonts w:cs="Times New Roman"/>
                <w:sz w:val="18"/>
                <w:szCs w:val="18"/>
              </w:rPr>
              <w:t>子项</w:t>
            </w:r>
          </w:p>
        </w:tc>
        <w:tc>
          <w:tcPr>
            <w:tcW w:w="4486" w:type="dxa"/>
            <w:vAlign w:val="center"/>
          </w:tcPr>
          <w:p>
            <w:pPr>
              <w:spacing w:line="280" w:lineRule="exact"/>
              <w:jc w:val="center"/>
              <w:rPr>
                <w:rFonts w:cs="Times New Roman"/>
                <w:sz w:val="18"/>
                <w:szCs w:val="18"/>
              </w:rPr>
            </w:pPr>
            <w:r>
              <w:rPr>
                <w:rFonts w:cs="Times New Roman"/>
                <w:sz w:val="18"/>
                <w:szCs w:val="18"/>
              </w:rPr>
              <w:t>实施依据</w:t>
            </w:r>
          </w:p>
        </w:tc>
        <w:tc>
          <w:tcPr>
            <w:tcW w:w="2698" w:type="dxa"/>
            <w:vAlign w:val="center"/>
          </w:tcPr>
          <w:p>
            <w:pPr>
              <w:spacing w:line="280" w:lineRule="exact"/>
              <w:jc w:val="center"/>
              <w:rPr>
                <w:rFonts w:cs="Times New Roman"/>
                <w:sz w:val="18"/>
                <w:szCs w:val="18"/>
              </w:rPr>
            </w:pPr>
            <w:r>
              <w:rPr>
                <w:rFonts w:cs="Times New Roman"/>
                <w:sz w:val="18"/>
                <w:szCs w:val="18"/>
              </w:rPr>
              <w:t>责任事项</w:t>
            </w:r>
          </w:p>
        </w:tc>
        <w:tc>
          <w:tcPr>
            <w:tcW w:w="4687" w:type="dxa"/>
            <w:vAlign w:val="center"/>
          </w:tcPr>
          <w:p>
            <w:pPr>
              <w:spacing w:line="280" w:lineRule="exact"/>
              <w:jc w:val="center"/>
              <w:rPr>
                <w:rFonts w:cs="Times New Roman"/>
                <w:sz w:val="18"/>
                <w:szCs w:val="18"/>
              </w:rPr>
            </w:pPr>
            <w:r>
              <w:rPr>
                <w:rFonts w:cs="Times New Roman"/>
                <w:sz w:val="18"/>
                <w:szCs w:val="18"/>
              </w:rPr>
              <w:t>责任事项依据</w:t>
            </w:r>
          </w:p>
        </w:tc>
        <w:tc>
          <w:tcPr>
            <w:tcW w:w="1996" w:type="dxa"/>
            <w:vAlign w:val="center"/>
          </w:tcPr>
          <w:p>
            <w:pPr>
              <w:spacing w:line="280" w:lineRule="exact"/>
              <w:jc w:val="center"/>
              <w:rPr>
                <w:rFonts w:cs="Times New Roman"/>
                <w:sz w:val="18"/>
                <w:szCs w:val="18"/>
              </w:rPr>
            </w:pPr>
            <w:r>
              <w:rPr>
                <w:rFonts w:cs="Times New Roman"/>
                <w:sz w:val="18"/>
                <w:szCs w:val="18"/>
              </w:rPr>
              <w:t>追责情形</w:t>
            </w:r>
          </w:p>
        </w:tc>
        <w:tc>
          <w:tcPr>
            <w:tcW w:w="4687"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6" w:hRule="atLeast"/>
          <w:jc w:val="center"/>
        </w:trPr>
        <w:tc>
          <w:tcPr>
            <w:tcW w:w="792" w:type="dxa"/>
            <w:vAlign w:val="center"/>
          </w:tcPr>
          <w:p>
            <w:pPr>
              <w:spacing w:line="240" w:lineRule="exact"/>
              <w:rPr>
                <w:rFonts w:cs="Times New Roman"/>
                <w:sz w:val="18"/>
                <w:szCs w:val="18"/>
              </w:rPr>
            </w:pPr>
            <w:r>
              <w:rPr>
                <w:rFonts w:hint="eastAsia" w:cs="Times New Roman"/>
                <w:sz w:val="18"/>
                <w:szCs w:val="18"/>
              </w:rPr>
              <w:t>79</w:t>
            </w:r>
          </w:p>
        </w:tc>
        <w:tc>
          <w:tcPr>
            <w:tcW w:w="742" w:type="dxa"/>
            <w:vAlign w:val="center"/>
          </w:tcPr>
          <w:p>
            <w:pPr>
              <w:spacing w:line="240" w:lineRule="exact"/>
              <w:rPr>
                <w:rFonts w:cs="Times New Roman"/>
                <w:sz w:val="18"/>
                <w:szCs w:val="18"/>
              </w:rPr>
            </w:pPr>
            <w:r>
              <w:rPr>
                <w:rFonts w:cs="Times New Roman"/>
                <w:sz w:val="18"/>
                <w:szCs w:val="18"/>
              </w:rPr>
              <w:t>行政确认</w:t>
            </w:r>
          </w:p>
        </w:tc>
        <w:tc>
          <w:tcPr>
            <w:tcW w:w="752" w:type="dxa"/>
            <w:vAlign w:val="center"/>
          </w:tcPr>
          <w:p>
            <w:pPr>
              <w:spacing w:line="240" w:lineRule="exact"/>
              <w:rPr>
                <w:rFonts w:cs="Times New Roman"/>
                <w:sz w:val="18"/>
                <w:szCs w:val="18"/>
              </w:rPr>
            </w:pPr>
            <w:r>
              <w:rPr>
                <w:rFonts w:cs="Times New Roman"/>
                <w:sz w:val="18"/>
                <w:szCs w:val="18"/>
              </w:rPr>
              <w:t>林木资产抵押物登记</w:t>
            </w:r>
          </w:p>
        </w:tc>
        <w:tc>
          <w:tcPr>
            <w:tcW w:w="808" w:type="dxa"/>
            <w:vAlign w:val="center"/>
          </w:tcPr>
          <w:p>
            <w:pPr>
              <w:spacing w:line="240" w:lineRule="exact"/>
              <w:rPr>
                <w:rFonts w:cs="Times New Roman"/>
                <w:sz w:val="18"/>
                <w:szCs w:val="18"/>
              </w:rPr>
            </w:pPr>
            <w:r>
              <w:rPr>
                <w:rFonts w:cs="Times New Roman"/>
                <w:sz w:val="18"/>
                <w:szCs w:val="18"/>
              </w:rPr>
              <w:t>　</w:t>
            </w:r>
          </w:p>
        </w:tc>
        <w:tc>
          <w:tcPr>
            <w:tcW w:w="4486" w:type="dxa"/>
            <w:vAlign w:val="center"/>
          </w:tcPr>
          <w:p>
            <w:pPr>
              <w:spacing w:line="240" w:lineRule="exact"/>
              <w:rPr>
                <w:rFonts w:cs="Times New Roman"/>
                <w:sz w:val="18"/>
                <w:szCs w:val="18"/>
              </w:rPr>
            </w:pPr>
            <w:r>
              <w:rPr>
                <w:rFonts w:cs="Times New Roman"/>
                <w:sz w:val="18"/>
                <w:szCs w:val="18"/>
              </w:rPr>
              <w:t>【法律】《中华人民共和国担保法》（</w:t>
            </w:r>
            <w:r>
              <w:rPr>
                <w:rFonts w:hint="eastAsia" w:cs="Times New Roman"/>
                <w:sz w:val="18"/>
                <w:szCs w:val="18"/>
              </w:rPr>
              <w:t>1995</w:t>
            </w:r>
            <w:r>
              <w:rPr>
                <w:rFonts w:cs="Times New Roman"/>
                <w:sz w:val="18"/>
                <w:szCs w:val="18"/>
              </w:rPr>
              <w:t>年</w:t>
            </w:r>
            <w:r>
              <w:rPr>
                <w:rFonts w:hint="eastAsia" w:cs="Times New Roman"/>
                <w:sz w:val="18"/>
                <w:szCs w:val="18"/>
              </w:rPr>
              <w:t>6</w:t>
            </w:r>
            <w:r>
              <w:rPr>
                <w:rFonts w:cs="Times New Roman"/>
                <w:sz w:val="18"/>
                <w:szCs w:val="18"/>
              </w:rPr>
              <w:t>月</w:t>
            </w:r>
            <w:r>
              <w:rPr>
                <w:rFonts w:hint="eastAsia" w:cs="Times New Roman"/>
                <w:sz w:val="18"/>
                <w:szCs w:val="18"/>
              </w:rPr>
              <w:t>30</w:t>
            </w:r>
            <w:r>
              <w:rPr>
                <w:rFonts w:cs="Times New Roman"/>
                <w:sz w:val="18"/>
                <w:szCs w:val="18"/>
              </w:rPr>
              <w:t>日中华人民共和国主席令第五十号公布）第四十一条　当事人以本法第四十二条规定的财产抵押的，应当办理抵押物登记，抵押合同自登记之日起生效。第四十二条办理抵押物登记的部门如下：（三）以林木抵押的，为县级以上林木主管部门。</w:t>
            </w:r>
          </w:p>
        </w:tc>
        <w:tc>
          <w:tcPr>
            <w:tcW w:w="2698" w:type="dxa"/>
            <w:vAlign w:val="center"/>
          </w:tcPr>
          <w:p>
            <w:pPr>
              <w:spacing w:line="240" w:lineRule="exact"/>
              <w:rPr>
                <w:rFonts w:cs="Times New Roman"/>
                <w:sz w:val="18"/>
                <w:szCs w:val="18"/>
              </w:rPr>
            </w:pPr>
            <w:r>
              <w:rPr>
                <w:rFonts w:cs="Times New Roman"/>
                <w:b/>
                <w:bCs/>
                <w:sz w:val="18"/>
                <w:szCs w:val="18"/>
              </w:rPr>
              <w:t>1.受理责任</w:t>
            </w:r>
            <w:r>
              <w:rPr>
                <w:rFonts w:cs="Times New Roman"/>
                <w:sz w:val="18"/>
                <w:szCs w:val="18"/>
              </w:rPr>
              <w:t>：公示应当提交的材料，一次性告知补正材料；依法受理或不予受理（不予受理应当告知理由）。</w:t>
            </w:r>
            <w:r>
              <w:rPr>
                <w:rFonts w:cs="Times New Roman"/>
                <w:sz w:val="18"/>
                <w:szCs w:val="18"/>
              </w:rPr>
              <w:br w:type="textWrapping"/>
            </w:r>
            <w:r>
              <w:rPr>
                <w:rFonts w:cs="Times New Roman"/>
                <w:b/>
                <w:bCs/>
                <w:sz w:val="18"/>
                <w:szCs w:val="18"/>
              </w:rPr>
              <w:t>2.审核责任</w:t>
            </w:r>
            <w:r>
              <w:rPr>
                <w:rFonts w:cs="Times New Roman"/>
                <w:sz w:val="18"/>
                <w:szCs w:val="18"/>
              </w:rPr>
              <w:t>：在10个工作日内办结；审核所提交的材料是否齐全、合格；审核林权证的真实性、合法性；不合格的退回材料。</w:t>
            </w:r>
            <w:r>
              <w:rPr>
                <w:rFonts w:cs="Times New Roman"/>
                <w:sz w:val="18"/>
                <w:szCs w:val="18"/>
              </w:rPr>
              <w:br w:type="textWrapping"/>
            </w:r>
            <w:r>
              <w:rPr>
                <w:rFonts w:cs="Times New Roman"/>
                <w:b/>
                <w:bCs/>
                <w:sz w:val="18"/>
                <w:szCs w:val="18"/>
              </w:rPr>
              <w:t>3.登记责任</w:t>
            </w:r>
            <w:r>
              <w:rPr>
                <w:rFonts w:cs="Times New Roman"/>
                <w:sz w:val="18"/>
                <w:szCs w:val="18"/>
              </w:rPr>
              <w:t>：审核合格的按要求予以登记，制作林权抵押登记证发给申请人；备案；变更登记。</w:t>
            </w:r>
            <w:r>
              <w:rPr>
                <w:rFonts w:cs="Times New Roman"/>
                <w:sz w:val="18"/>
                <w:szCs w:val="18"/>
              </w:rPr>
              <w:br w:type="textWrapping"/>
            </w:r>
            <w:r>
              <w:rPr>
                <w:rFonts w:cs="Times New Roman"/>
                <w:b/>
                <w:bCs/>
                <w:sz w:val="18"/>
                <w:szCs w:val="18"/>
              </w:rPr>
              <w:t>4.监管责任</w:t>
            </w:r>
            <w:r>
              <w:rPr>
                <w:rFonts w:cs="Times New Roman"/>
                <w:sz w:val="18"/>
                <w:szCs w:val="18"/>
              </w:rPr>
              <w:t>：对林权抵押登记情况的监督管理。</w:t>
            </w:r>
            <w:r>
              <w:rPr>
                <w:rFonts w:cs="Times New Roman"/>
                <w:sz w:val="18"/>
                <w:szCs w:val="18"/>
              </w:rPr>
              <w:br w:type="textWrapping"/>
            </w:r>
            <w:r>
              <w:rPr>
                <w:rFonts w:cs="Times New Roman"/>
                <w:b/>
                <w:bCs/>
                <w:sz w:val="18"/>
                <w:szCs w:val="18"/>
              </w:rPr>
              <w:t>5.其他法律法规规章文件规定应履行的责任。</w:t>
            </w:r>
          </w:p>
        </w:tc>
        <w:tc>
          <w:tcPr>
            <w:tcW w:w="4687" w:type="dxa"/>
            <w:vAlign w:val="center"/>
          </w:tcPr>
          <w:p>
            <w:pPr>
              <w:spacing w:line="240" w:lineRule="exact"/>
              <w:rPr>
                <w:rFonts w:cs="Times New Roman"/>
                <w:sz w:val="18"/>
                <w:szCs w:val="18"/>
              </w:rPr>
            </w:pPr>
            <w:r>
              <w:rPr>
                <w:rFonts w:cs="Times New Roman"/>
                <w:sz w:val="18"/>
                <w:szCs w:val="18"/>
              </w:rPr>
              <w:t>　1.【法律】《中华人民共和国担保法》（</w:t>
            </w:r>
            <w:r>
              <w:rPr>
                <w:rFonts w:hint="eastAsia" w:cs="Times New Roman"/>
                <w:sz w:val="18"/>
                <w:szCs w:val="18"/>
              </w:rPr>
              <w:t>1995</w:t>
            </w:r>
            <w:r>
              <w:rPr>
                <w:rFonts w:cs="Times New Roman"/>
                <w:sz w:val="18"/>
                <w:szCs w:val="18"/>
              </w:rPr>
              <w:t>年</w:t>
            </w:r>
            <w:r>
              <w:rPr>
                <w:rFonts w:hint="eastAsia" w:cs="Times New Roman"/>
                <w:sz w:val="18"/>
                <w:szCs w:val="18"/>
              </w:rPr>
              <w:t>6</w:t>
            </w:r>
            <w:r>
              <w:rPr>
                <w:rFonts w:cs="Times New Roman"/>
                <w:sz w:val="18"/>
                <w:szCs w:val="18"/>
              </w:rPr>
              <w:t>月</w:t>
            </w:r>
            <w:r>
              <w:rPr>
                <w:rFonts w:hint="eastAsia" w:cs="Times New Roman"/>
                <w:sz w:val="18"/>
                <w:szCs w:val="18"/>
              </w:rPr>
              <w:t>30</w:t>
            </w:r>
            <w:r>
              <w:rPr>
                <w:rFonts w:cs="Times New Roman"/>
                <w:sz w:val="18"/>
                <w:szCs w:val="18"/>
              </w:rPr>
              <w:t>日中华人民共和国主席令第五十号公布）第四十四条　办理抵押物登记，应当向登记部门提供下列文件或者其复印件：（一）主合同和抵押合同；（二）抵押物的所有权或者使用权证书。</w:t>
            </w:r>
            <w:r>
              <w:rPr>
                <w:rFonts w:cs="Times New Roman"/>
                <w:sz w:val="18"/>
                <w:szCs w:val="18"/>
              </w:rPr>
              <w:br w:type="textWrapping"/>
            </w:r>
            <w:r>
              <w:rPr>
                <w:rFonts w:cs="Times New Roman"/>
                <w:sz w:val="18"/>
                <w:szCs w:val="18"/>
              </w:rPr>
              <w:t xml:space="preserve">    2.【规范性文件】《中国银行业监督管理委员会、国家林业局关于林权抵押贷款的实施意见》（银监发〔2013〕32号）第十九条林权登记机关应对林权证的真实性、合法性进行确认。第二十条林权登记机关受理抵押登记申请后，对经审核符合登记条件的，登记机关应在10个工作日内办理完毕。对不符合抵押登记条件的，书面通知申请人不予登记并退回申请材料。办理抵押登记不得收取任何费用。</w:t>
            </w:r>
            <w:r>
              <w:rPr>
                <w:rFonts w:cs="Times New Roman"/>
                <w:sz w:val="18"/>
                <w:szCs w:val="18"/>
              </w:rPr>
              <w:br w:type="textWrapping"/>
            </w:r>
            <w:r>
              <w:rPr>
                <w:rFonts w:cs="Times New Roman"/>
                <w:sz w:val="18"/>
                <w:szCs w:val="18"/>
              </w:rPr>
              <w:t xml:space="preserve">    3-1. 【规范性文件】《中国银行业监督管理委员会、国家林业局关于林权抵押贷款的实施意见》（银监发〔2013〕32号）第二十一条林权登记机关在办理抵押登记时，应在抵押林权的林权证的“注记”栏内载明抵押登记的主要内容，发给抵押权人《林权抵押登记证明书》等证明文件，并在抵押合同上签注编号、日期，经办人签字、加盖公章。</w:t>
            </w:r>
            <w:r>
              <w:rPr>
                <w:rFonts w:cs="Times New Roman"/>
                <w:sz w:val="18"/>
                <w:szCs w:val="18"/>
              </w:rPr>
              <w:br w:type="textWrapping"/>
            </w:r>
            <w:r>
              <w:rPr>
                <w:rFonts w:cs="Times New Roman"/>
                <w:sz w:val="18"/>
                <w:szCs w:val="18"/>
              </w:rPr>
              <w:t xml:space="preserve">    3-2．【规范性文件】《中国银行业监督管理委员会、国家林业局关于林权抵押贷款的实施意见》（银监发〔2013〕32号）第二十四条各级林业登记机关要做好已抵押林权的登记管理工作，将林权抵押登记事项如实记载于林权登记簿，以备查阅。对于已全部抵押的林权，不得重复办理抵押登记。除取得抵押权人书面同意外，不予办理林权变更登记。</w:t>
            </w:r>
            <w:r>
              <w:rPr>
                <w:rFonts w:cs="Times New Roman"/>
                <w:sz w:val="18"/>
                <w:szCs w:val="18"/>
              </w:rPr>
              <w:br w:type="textWrapping"/>
            </w:r>
            <w:r>
              <w:rPr>
                <w:rFonts w:cs="Times New Roman"/>
                <w:sz w:val="18"/>
                <w:szCs w:val="18"/>
              </w:rPr>
              <w:t xml:space="preserve">    4.同3-2.</w:t>
            </w:r>
          </w:p>
        </w:tc>
        <w:tc>
          <w:tcPr>
            <w:tcW w:w="1996" w:type="dxa"/>
            <w:vAlign w:val="center"/>
          </w:tcPr>
          <w:p>
            <w:pPr>
              <w:spacing w:line="240" w:lineRule="exact"/>
              <w:ind w:firstLine="360" w:firstLineChars="200"/>
              <w:rPr>
                <w:rFonts w:cs="Times New Roman"/>
                <w:sz w:val="18"/>
                <w:szCs w:val="18"/>
              </w:rPr>
            </w:pPr>
            <w:r>
              <w:rPr>
                <w:rFonts w:cs="Times New Roman"/>
                <w:sz w:val="18"/>
                <w:szCs w:val="18"/>
              </w:rPr>
              <w:t>因履行或不正确履行行政职责，有下列情形的，行政机关及相关工作人员应承担相应责任：</w:t>
            </w:r>
            <w:r>
              <w:rPr>
                <w:rFonts w:cs="Times New Roman"/>
                <w:sz w:val="18"/>
                <w:szCs w:val="18"/>
              </w:rPr>
              <w:br w:type="textWrapping"/>
            </w:r>
            <w:r>
              <w:rPr>
                <w:rFonts w:cs="Times New Roman"/>
                <w:sz w:val="18"/>
                <w:szCs w:val="18"/>
              </w:rPr>
              <w:t>1.玩忽职守、贻误工作的。</w:t>
            </w:r>
            <w:r>
              <w:rPr>
                <w:rFonts w:cs="Times New Roman"/>
                <w:sz w:val="18"/>
                <w:szCs w:val="18"/>
              </w:rPr>
              <w:br w:type="textWrapping"/>
            </w:r>
            <w:r>
              <w:rPr>
                <w:rFonts w:cs="Times New Roman"/>
                <w:sz w:val="18"/>
                <w:szCs w:val="18"/>
              </w:rPr>
              <w:t>2.违反廉政纪律行为的。</w:t>
            </w:r>
            <w:r>
              <w:rPr>
                <w:rFonts w:cs="Times New Roman"/>
                <w:sz w:val="18"/>
                <w:szCs w:val="18"/>
              </w:rPr>
              <w:br w:type="textWrapping"/>
            </w:r>
            <w:r>
              <w:rPr>
                <w:rFonts w:cs="Times New Roman"/>
                <w:sz w:val="18"/>
                <w:szCs w:val="18"/>
              </w:rPr>
              <w:t>3.滥用职权，侵害公民、法人或者其他组织合法权益的。</w:t>
            </w:r>
            <w:r>
              <w:rPr>
                <w:rFonts w:cs="Times New Roman"/>
                <w:sz w:val="18"/>
                <w:szCs w:val="18"/>
              </w:rPr>
              <w:br w:type="textWrapping"/>
            </w:r>
            <w:r>
              <w:rPr>
                <w:rFonts w:cs="Times New Roman"/>
                <w:sz w:val="18"/>
                <w:szCs w:val="18"/>
              </w:rPr>
              <w:t>4.泄露相关秘密、隐私的。</w:t>
            </w:r>
            <w:r>
              <w:rPr>
                <w:rFonts w:cs="Times New Roman"/>
                <w:sz w:val="18"/>
                <w:szCs w:val="18"/>
              </w:rPr>
              <w:br w:type="textWrapping"/>
            </w:r>
            <w:r>
              <w:rPr>
                <w:rFonts w:cs="Times New Roman"/>
                <w:sz w:val="18"/>
                <w:szCs w:val="18"/>
              </w:rPr>
              <w:t>5.违反公务员职业道德，工作作风懈怠、工作态度恶劣的。</w:t>
            </w:r>
            <w:r>
              <w:rPr>
                <w:rFonts w:cs="Times New Roman"/>
                <w:sz w:val="18"/>
                <w:szCs w:val="18"/>
              </w:rPr>
              <w:br w:type="textWrapping"/>
            </w:r>
            <w:r>
              <w:rPr>
                <w:rFonts w:cs="Times New Roman"/>
                <w:sz w:val="18"/>
                <w:szCs w:val="18"/>
              </w:rPr>
              <w:t>6.其他违反法律法规规章文件规定的行为。</w:t>
            </w:r>
          </w:p>
        </w:tc>
        <w:tc>
          <w:tcPr>
            <w:tcW w:w="4687" w:type="dxa"/>
            <w:vAlign w:val="center"/>
          </w:tcPr>
          <w:p>
            <w:pPr>
              <w:spacing w:line="240" w:lineRule="exact"/>
              <w:ind w:firstLine="360" w:firstLineChars="200"/>
              <w:rPr>
                <w:rFonts w:cs="Times New Roman"/>
                <w:sz w:val="18"/>
                <w:szCs w:val="18"/>
              </w:rPr>
            </w:pPr>
            <w:r>
              <w:rPr>
                <w:rFonts w:cs="Times New Roman"/>
                <w:sz w:val="18"/>
                <w:szCs w:val="18"/>
              </w:rPr>
              <w:t>1.【法规】《行政机关公务员处分条例》（2007年国务院令第495号</w:t>
            </w:r>
            <w:r>
              <w:rPr>
                <w:rFonts w:hint="eastAsia" w:cs="Times New Roman"/>
                <w:sz w:val="18"/>
                <w:szCs w:val="18"/>
              </w:rPr>
              <w:t>公布</w:t>
            </w:r>
            <w:r>
              <w:rPr>
                <w:rFonts w:cs="Times New Roman"/>
                <w:sz w:val="18"/>
                <w:szCs w:val="18"/>
              </w:rPr>
              <w:t>）第二十条有下列行为之一的，给予记过、记大过处分；情节较重的，给予降级或者撤职处分；情节严重的，给予开除处分：（四）其他玩忽职守、贻误工作的行为。</w:t>
            </w:r>
            <w:r>
              <w:rPr>
                <w:rFonts w:cs="Times New Roman"/>
                <w:sz w:val="18"/>
                <w:szCs w:val="18"/>
              </w:rPr>
              <w:br w:type="textWrapping"/>
            </w:r>
            <w:r>
              <w:rPr>
                <w:rFonts w:cs="Times New Roman"/>
                <w:sz w:val="18"/>
                <w:szCs w:val="18"/>
              </w:rPr>
              <w:t>2.【法规】《行政机关公务员处分条例》（2007年国务院令第495号</w:t>
            </w:r>
            <w:r>
              <w:rPr>
                <w:rFonts w:hint="eastAsia" w:cs="Times New Roman"/>
                <w:sz w:val="18"/>
                <w:szCs w:val="18"/>
              </w:rPr>
              <w:t>公布</w:t>
            </w:r>
            <w:r>
              <w:rPr>
                <w:rFonts w:cs="Times New Roman"/>
                <w:sz w:val="18"/>
                <w:szCs w:val="18"/>
              </w:rPr>
              <w:t>）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cs="Times New Roman"/>
                <w:sz w:val="18"/>
                <w:szCs w:val="18"/>
              </w:rPr>
              <w:br w:type="textWrapping"/>
            </w:r>
            <w:r>
              <w:rPr>
                <w:rFonts w:cs="Times New Roman"/>
                <w:sz w:val="18"/>
                <w:szCs w:val="18"/>
              </w:rPr>
              <w:t>3.【法规】《行政机关公务员处分条例》（2007年国务院令第495号</w:t>
            </w:r>
            <w:r>
              <w:rPr>
                <w:rFonts w:hint="eastAsia" w:cs="Times New Roman"/>
                <w:sz w:val="18"/>
                <w:szCs w:val="18"/>
              </w:rPr>
              <w:t>公布</w:t>
            </w:r>
            <w:r>
              <w:rPr>
                <w:rFonts w:cs="Times New Roman"/>
                <w:sz w:val="18"/>
                <w:szCs w:val="18"/>
              </w:rPr>
              <w:t>）第二十五条有下列行为之一的，给予记过或者记大过处分；情节较重的，给予降级或者撤职处分；情节严重的，给予开除处分：（五）其他滥用职权，侵害公民、法人或者其他组织合法权益的行为。</w:t>
            </w:r>
            <w:r>
              <w:rPr>
                <w:rFonts w:cs="Times New Roman"/>
                <w:sz w:val="18"/>
                <w:szCs w:val="18"/>
              </w:rPr>
              <w:br w:type="textWrapping"/>
            </w:r>
            <w:r>
              <w:rPr>
                <w:rFonts w:cs="Times New Roman"/>
                <w:sz w:val="18"/>
                <w:szCs w:val="18"/>
              </w:rPr>
              <w:t>4.【法规】《行政机关公务员处分条例》（2007年国务院令第495号</w:t>
            </w:r>
            <w:r>
              <w:rPr>
                <w:rFonts w:hint="eastAsia" w:cs="Times New Roman"/>
                <w:sz w:val="18"/>
                <w:szCs w:val="18"/>
              </w:rPr>
              <w:t>公布</w:t>
            </w:r>
            <w:r>
              <w:rPr>
                <w:rFonts w:cs="Times New Roman"/>
                <w:sz w:val="18"/>
                <w:szCs w:val="18"/>
              </w:rPr>
              <w:t>）第二十六条泄露国家秘密、工作秘密，或者泄露因履行职责掌握的商业秘密、个人隐私，造成不良后果的，给予警告、记过或者记大过处分；情节较重的，给予降级或者撤职处分；情节严重的，给予开除处分。</w:t>
            </w:r>
            <w:r>
              <w:rPr>
                <w:rFonts w:cs="Times New Roman"/>
                <w:sz w:val="18"/>
                <w:szCs w:val="18"/>
              </w:rPr>
              <w:br w:type="textWrapping"/>
            </w:r>
            <w:r>
              <w:rPr>
                <w:rFonts w:cs="Times New Roman"/>
                <w:sz w:val="18"/>
                <w:szCs w:val="18"/>
              </w:rPr>
              <w:t>5.【法规】《行政机关公务员处分条例》（2007年国务院令第495号</w:t>
            </w:r>
            <w:r>
              <w:rPr>
                <w:rFonts w:hint="eastAsia" w:cs="Times New Roman"/>
                <w:sz w:val="18"/>
                <w:szCs w:val="18"/>
              </w:rPr>
              <w:t>公布</w:t>
            </w:r>
            <w:r>
              <w:rPr>
                <w:rFonts w:cs="Times New Roman"/>
                <w:sz w:val="18"/>
                <w:szCs w:val="18"/>
              </w:rPr>
              <w:t>）第二十八条严重违反公务员职业道德，工作作风懈怠、工作态度恶劣，造成不良影响的，给予警告、记过或者记大过处分。</w:t>
            </w:r>
            <w:r>
              <w:rPr>
                <w:rFonts w:cs="Times New Roman"/>
                <w:sz w:val="18"/>
                <w:szCs w:val="18"/>
              </w:rPr>
              <w:br w:type="textWrapping"/>
            </w:r>
          </w:p>
        </w:tc>
        <w:tc>
          <w:tcPr>
            <w:tcW w:w="612"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717"/>
        <w:gridCol w:w="804"/>
        <w:gridCol w:w="783"/>
        <w:gridCol w:w="3345"/>
        <w:gridCol w:w="2679"/>
        <w:gridCol w:w="5781"/>
        <w:gridCol w:w="1981"/>
        <w:gridCol w:w="4653"/>
        <w:gridCol w:w="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49" w:type="dxa"/>
            <w:vAlign w:val="center"/>
          </w:tcPr>
          <w:p>
            <w:pPr>
              <w:spacing w:line="280" w:lineRule="exact"/>
              <w:jc w:val="center"/>
              <w:rPr>
                <w:rFonts w:cs="Times New Roman"/>
                <w:sz w:val="18"/>
                <w:szCs w:val="18"/>
              </w:rPr>
            </w:pPr>
            <w:r>
              <w:rPr>
                <w:rFonts w:cs="Times New Roman"/>
                <w:sz w:val="18"/>
                <w:szCs w:val="18"/>
              </w:rPr>
              <w:t>序号</w:t>
            </w:r>
          </w:p>
        </w:tc>
        <w:tc>
          <w:tcPr>
            <w:tcW w:w="717" w:type="dxa"/>
            <w:vAlign w:val="center"/>
          </w:tcPr>
          <w:p>
            <w:pPr>
              <w:spacing w:line="280" w:lineRule="exact"/>
              <w:jc w:val="center"/>
              <w:rPr>
                <w:rFonts w:cs="Times New Roman"/>
                <w:sz w:val="18"/>
                <w:szCs w:val="18"/>
              </w:rPr>
            </w:pPr>
            <w:r>
              <w:rPr>
                <w:rFonts w:cs="Times New Roman"/>
                <w:sz w:val="18"/>
                <w:szCs w:val="18"/>
              </w:rPr>
              <w:t>权力分类</w:t>
            </w:r>
          </w:p>
        </w:tc>
        <w:tc>
          <w:tcPr>
            <w:tcW w:w="804" w:type="dxa"/>
            <w:vAlign w:val="center"/>
          </w:tcPr>
          <w:p>
            <w:pPr>
              <w:spacing w:line="280" w:lineRule="exact"/>
              <w:jc w:val="center"/>
              <w:rPr>
                <w:rFonts w:cs="Times New Roman"/>
                <w:sz w:val="18"/>
                <w:szCs w:val="18"/>
              </w:rPr>
            </w:pPr>
            <w:r>
              <w:rPr>
                <w:rFonts w:cs="Times New Roman"/>
                <w:sz w:val="18"/>
                <w:szCs w:val="18"/>
              </w:rPr>
              <w:t>项目名称</w:t>
            </w:r>
          </w:p>
        </w:tc>
        <w:tc>
          <w:tcPr>
            <w:tcW w:w="783" w:type="dxa"/>
            <w:vAlign w:val="center"/>
          </w:tcPr>
          <w:p>
            <w:pPr>
              <w:spacing w:line="280" w:lineRule="exact"/>
              <w:jc w:val="center"/>
              <w:rPr>
                <w:rFonts w:cs="Times New Roman"/>
                <w:sz w:val="18"/>
                <w:szCs w:val="18"/>
              </w:rPr>
            </w:pPr>
            <w:r>
              <w:rPr>
                <w:rFonts w:cs="Times New Roman"/>
                <w:sz w:val="18"/>
                <w:szCs w:val="18"/>
              </w:rPr>
              <w:t>子项</w:t>
            </w:r>
          </w:p>
        </w:tc>
        <w:tc>
          <w:tcPr>
            <w:tcW w:w="3345" w:type="dxa"/>
            <w:vAlign w:val="center"/>
          </w:tcPr>
          <w:p>
            <w:pPr>
              <w:spacing w:line="280" w:lineRule="exact"/>
              <w:jc w:val="center"/>
              <w:rPr>
                <w:rFonts w:cs="Times New Roman"/>
                <w:sz w:val="18"/>
                <w:szCs w:val="18"/>
              </w:rPr>
            </w:pPr>
            <w:r>
              <w:rPr>
                <w:rFonts w:cs="Times New Roman"/>
                <w:sz w:val="18"/>
                <w:szCs w:val="18"/>
              </w:rPr>
              <w:t>实施依据</w:t>
            </w:r>
          </w:p>
        </w:tc>
        <w:tc>
          <w:tcPr>
            <w:tcW w:w="2679" w:type="dxa"/>
            <w:vAlign w:val="center"/>
          </w:tcPr>
          <w:p>
            <w:pPr>
              <w:spacing w:line="280" w:lineRule="exact"/>
              <w:jc w:val="center"/>
              <w:rPr>
                <w:rFonts w:cs="Times New Roman"/>
                <w:sz w:val="18"/>
                <w:szCs w:val="18"/>
              </w:rPr>
            </w:pPr>
            <w:r>
              <w:rPr>
                <w:rFonts w:cs="Times New Roman"/>
                <w:sz w:val="18"/>
                <w:szCs w:val="18"/>
              </w:rPr>
              <w:t>责任事项</w:t>
            </w:r>
          </w:p>
        </w:tc>
        <w:tc>
          <w:tcPr>
            <w:tcW w:w="5781" w:type="dxa"/>
            <w:vAlign w:val="center"/>
          </w:tcPr>
          <w:p>
            <w:pPr>
              <w:spacing w:line="280" w:lineRule="exact"/>
              <w:jc w:val="center"/>
              <w:rPr>
                <w:rFonts w:cs="Times New Roman"/>
                <w:sz w:val="18"/>
                <w:szCs w:val="18"/>
              </w:rPr>
            </w:pPr>
            <w:r>
              <w:rPr>
                <w:rFonts w:cs="Times New Roman"/>
                <w:sz w:val="18"/>
                <w:szCs w:val="18"/>
              </w:rPr>
              <w:t>责任事项依据</w:t>
            </w:r>
          </w:p>
        </w:tc>
        <w:tc>
          <w:tcPr>
            <w:tcW w:w="1981" w:type="dxa"/>
            <w:vAlign w:val="center"/>
          </w:tcPr>
          <w:p>
            <w:pPr>
              <w:spacing w:line="280" w:lineRule="exact"/>
              <w:jc w:val="center"/>
              <w:rPr>
                <w:rFonts w:cs="Times New Roman"/>
                <w:sz w:val="18"/>
                <w:szCs w:val="18"/>
              </w:rPr>
            </w:pPr>
            <w:r>
              <w:rPr>
                <w:rFonts w:cs="Times New Roman"/>
                <w:sz w:val="18"/>
                <w:szCs w:val="18"/>
              </w:rPr>
              <w:t>追责情形</w:t>
            </w:r>
          </w:p>
        </w:tc>
        <w:tc>
          <w:tcPr>
            <w:tcW w:w="4653" w:type="dxa"/>
            <w:vAlign w:val="center"/>
          </w:tcPr>
          <w:p>
            <w:pPr>
              <w:spacing w:line="280" w:lineRule="exact"/>
              <w:jc w:val="center"/>
              <w:rPr>
                <w:rFonts w:cs="Times New Roman"/>
                <w:sz w:val="18"/>
                <w:szCs w:val="18"/>
              </w:rPr>
            </w:pPr>
            <w:r>
              <w:rPr>
                <w:rFonts w:cs="Times New Roman"/>
                <w:sz w:val="18"/>
                <w:szCs w:val="18"/>
              </w:rPr>
              <w:t>追责依据</w:t>
            </w:r>
          </w:p>
        </w:tc>
        <w:tc>
          <w:tcPr>
            <w:tcW w:w="608"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19" w:hRule="atLeast"/>
          <w:jc w:val="center"/>
        </w:trPr>
        <w:tc>
          <w:tcPr>
            <w:tcW w:w="749" w:type="dxa"/>
            <w:vAlign w:val="center"/>
          </w:tcPr>
          <w:p>
            <w:pPr>
              <w:spacing w:line="240" w:lineRule="exact"/>
              <w:rPr>
                <w:rFonts w:cs="Times New Roman"/>
                <w:sz w:val="18"/>
                <w:szCs w:val="18"/>
              </w:rPr>
            </w:pPr>
            <w:r>
              <w:rPr>
                <w:rFonts w:hint="eastAsia" w:cs="Times New Roman"/>
                <w:sz w:val="18"/>
                <w:szCs w:val="18"/>
              </w:rPr>
              <w:t>80</w:t>
            </w:r>
          </w:p>
        </w:tc>
        <w:tc>
          <w:tcPr>
            <w:tcW w:w="717" w:type="dxa"/>
            <w:vAlign w:val="center"/>
          </w:tcPr>
          <w:p>
            <w:pPr>
              <w:spacing w:line="240" w:lineRule="exact"/>
              <w:rPr>
                <w:rFonts w:cs="Times New Roman"/>
                <w:sz w:val="18"/>
                <w:szCs w:val="18"/>
              </w:rPr>
            </w:pPr>
            <w:r>
              <w:rPr>
                <w:rFonts w:hint="eastAsia" w:cs="Times New Roman"/>
                <w:sz w:val="18"/>
                <w:szCs w:val="18"/>
              </w:rPr>
              <w:t>行政裁决</w:t>
            </w:r>
          </w:p>
        </w:tc>
        <w:tc>
          <w:tcPr>
            <w:tcW w:w="804" w:type="dxa"/>
            <w:vAlign w:val="center"/>
          </w:tcPr>
          <w:p>
            <w:pPr>
              <w:spacing w:line="240" w:lineRule="exact"/>
              <w:rPr>
                <w:rFonts w:cs="Times New Roman"/>
                <w:sz w:val="18"/>
                <w:szCs w:val="18"/>
              </w:rPr>
            </w:pPr>
            <w:r>
              <w:rPr>
                <w:rFonts w:cs="Times New Roman"/>
                <w:sz w:val="18"/>
                <w:szCs w:val="18"/>
              </w:rPr>
              <w:t>山林权属纠纷调解处理</w:t>
            </w:r>
          </w:p>
        </w:tc>
        <w:tc>
          <w:tcPr>
            <w:tcW w:w="783" w:type="dxa"/>
            <w:vAlign w:val="center"/>
          </w:tcPr>
          <w:p>
            <w:pPr>
              <w:spacing w:line="240" w:lineRule="exact"/>
              <w:rPr>
                <w:rFonts w:cs="Times New Roman"/>
                <w:sz w:val="18"/>
                <w:szCs w:val="18"/>
              </w:rPr>
            </w:pPr>
            <w:r>
              <w:rPr>
                <w:rFonts w:cs="Times New Roman"/>
                <w:sz w:val="18"/>
                <w:szCs w:val="18"/>
              </w:rPr>
              <w:t>　</w:t>
            </w:r>
          </w:p>
        </w:tc>
        <w:tc>
          <w:tcPr>
            <w:tcW w:w="3345" w:type="dxa"/>
            <w:vAlign w:val="center"/>
          </w:tcPr>
          <w:p>
            <w:pPr>
              <w:spacing w:line="240" w:lineRule="exact"/>
              <w:rPr>
                <w:rFonts w:cs="Times New Roman"/>
                <w:sz w:val="18"/>
                <w:szCs w:val="18"/>
              </w:rPr>
            </w:pPr>
            <w:r>
              <w:rPr>
                <w:rFonts w:cs="Times New Roman"/>
                <w:sz w:val="18"/>
                <w:szCs w:val="18"/>
              </w:rPr>
              <w:t>【法规】《广西壮族自治区土地山林水利权属纠纷调解处理条例》（2002年9月27日广西壮族自治区第九届人民代表大会常务委员会第三十二次会议通过，2013年9月26日修订）第三条各级人民政府依法对本行政区域内发生的土地山林水利权属纠纷的调解、处理负总责。国土资源、林业、水行政主管部门按照各自职责分别负责土地山林水利权属纠纷调解、处理的具体工作。</w:t>
            </w:r>
          </w:p>
        </w:tc>
        <w:tc>
          <w:tcPr>
            <w:tcW w:w="2679" w:type="dxa"/>
            <w:vAlign w:val="center"/>
          </w:tcPr>
          <w:p>
            <w:pPr>
              <w:spacing w:line="240" w:lineRule="exact"/>
              <w:rPr>
                <w:rFonts w:cs="Times New Roman"/>
                <w:sz w:val="18"/>
                <w:szCs w:val="18"/>
              </w:rPr>
            </w:pPr>
            <w:r>
              <w:rPr>
                <w:rFonts w:cs="Times New Roman"/>
                <w:b/>
                <w:bCs/>
                <w:sz w:val="18"/>
                <w:szCs w:val="18"/>
              </w:rPr>
              <w:t>1.受理责任</w:t>
            </w:r>
            <w:r>
              <w:rPr>
                <w:rFonts w:cs="Times New Roman"/>
                <w:sz w:val="18"/>
                <w:szCs w:val="18"/>
              </w:rPr>
              <w:t>：对符合条件的依法受理；对不符合条件的不予受理并通知申请人，告知其理由；</w:t>
            </w:r>
            <w:r>
              <w:rPr>
                <w:rFonts w:cs="Times New Roman"/>
                <w:sz w:val="18"/>
                <w:szCs w:val="18"/>
              </w:rPr>
              <w:br w:type="textWrapping"/>
            </w:r>
            <w:r>
              <w:rPr>
                <w:rFonts w:cs="Times New Roman"/>
                <w:b/>
                <w:bCs/>
                <w:sz w:val="18"/>
                <w:szCs w:val="18"/>
              </w:rPr>
              <w:t>2.审理责任</w:t>
            </w:r>
            <w:r>
              <w:rPr>
                <w:rFonts w:cs="Times New Roman"/>
                <w:sz w:val="18"/>
                <w:szCs w:val="18"/>
              </w:rPr>
              <w:t>：林业主管部门对争议的事实、证据材料进行调查，按有关法律、法规的程序进行，查明事实。</w:t>
            </w:r>
            <w:r>
              <w:rPr>
                <w:rFonts w:cs="Times New Roman"/>
                <w:sz w:val="18"/>
                <w:szCs w:val="18"/>
              </w:rPr>
              <w:br w:type="textWrapping"/>
            </w:r>
            <w:r>
              <w:rPr>
                <w:rFonts w:cs="Times New Roman"/>
                <w:b/>
                <w:bCs/>
                <w:sz w:val="18"/>
                <w:szCs w:val="18"/>
              </w:rPr>
              <w:t>3.调解责任</w:t>
            </w:r>
            <w:r>
              <w:rPr>
                <w:rFonts w:cs="Times New Roman"/>
                <w:sz w:val="18"/>
                <w:szCs w:val="18"/>
              </w:rPr>
              <w:t>：根据事实和法律、法规进行调解，制作调解协议书等。</w:t>
            </w:r>
            <w:r>
              <w:rPr>
                <w:rFonts w:cs="Times New Roman"/>
                <w:sz w:val="18"/>
                <w:szCs w:val="18"/>
              </w:rPr>
              <w:br w:type="textWrapping"/>
            </w:r>
            <w:r>
              <w:rPr>
                <w:rFonts w:cs="Times New Roman"/>
                <w:b/>
                <w:bCs/>
                <w:sz w:val="18"/>
                <w:szCs w:val="18"/>
              </w:rPr>
              <w:t>4.督促指导责任</w:t>
            </w:r>
            <w:r>
              <w:rPr>
                <w:rFonts w:cs="Times New Roman"/>
                <w:sz w:val="18"/>
                <w:szCs w:val="18"/>
              </w:rPr>
              <w:t>：林木、林地权属裁决生效后，督促当事人应当履行裁决；指导下级调处机构处理山林水利权属纠纷案件。</w:t>
            </w:r>
            <w:r>
              <w:rPr>
                <w:rFonts w:cs="Times New Roman"/>
                <w:sz w:val="18"/>
                <w:szCs w:val="18"/>
              </w:rPr>
              <w:br w:type="textWrapping"/>
            </w:r>
            <w:r>
              <w:rPr>
                <w:rFonts w:cs="Times New Roman"/>
                <w:b/>
                <w:bCs/>
                <w:sz w:val="18"/>
                <w:szCs w:val="18"/>
              </w:rPr>
              <w:t>5.其他法律法规规章文件规定应履行的责任</w:t>
            </w:r>
            <w:r>
              <w:rPr>
                <w:rFonts w:cs="Times New Roman"/>
                <w:sz w:val="18"/>
                <w:szCs w:val="18"/>
              </w:rPr>
              <w:t>。</w:t>
            </w:r>
          </w:p>
        </w:tc>
        <w:tc>
          <w:tcPr>
            <w:tcW w:w="5781" w:type="dxa"/>
            <w:vAlign w:val="center"/>
          </w:tcPr>
          <w:p>
            <w:pPr>
              <w:spacing w:line="240" w:lineRule="exact"/>
              <w:rPr>
                <w:rFonts w:cs="Times New Roman"/>
                <w:sz w:val="18"/>
                <w:szCs w:val="18"/>
              </w:rPr>
            </w:pPr>
            <w:r>
              <w:rPr>
                <w:rFonts w:cs="Times New Roman"/>
                <w:sz w:val="18"/>
                <w:szCs w:val="18"/>
              </w:rPr>
              <w:t xml:space="preserve">    1.【法规】《广西壮族自治区土地山林水利权属纠纷调解处理条例》（2002年9月27日广西壮族自治区第九届人民代表大会常务委员会第三十二次会议通过，2013年9月26日修订施行）第十八条跨设区的市行政区域的土地、山林和水利工程权属纠纷，由自治区人民政府处理或者由自治区人民政府指定处理机关处理。上级人民政府认为有必要的，可以直接处理下级人民政府有权处理的权属纠纷。第二十一条土地、山林和水利工程权属纠纷申请提交后，处理机关发现不符合第十九条、第二十条规定的，应当在收到申请材料后的五日内告知申请人补正。补正通知应当载明需要补正的事项和合理的补正期限，无正当理由逾期不补正的，视为申请人放弃申请。</w:t>
            </w:r>
            <w:r>
              <w:rPr>
                <w:rFonts w:cs="Times New Roman"/>
                <w:sz w:val="18"/>
                <w:szCs w:val="18"/>
              </w:rPr>
              <w:br w:type="textWrapping"/>
            </w:r>
            <w:r>
              <w:rPr>
                <w:rFonts w:cs="Times New Roman"/>
                <w:sz w:val="18"/>
                <w:szCs w:val="18"/>
              </w:rPr>
              <w:t xml:space="preserve">    2.【法规】《广西壮族自治区土地山林水利权属纠纷调解处理条例》（2002年9月27日广西壮族自治区第九届人民代表大会常务委员会第三十二次会议通过，2013年9月26日修订施行）第二十六条调处人员进行土地山林水利权属纠纷现场实地调查勘验，应当邀请当地基层组织代表，通知权属纠纷当事人到场。勘验的情况和结果应当制作笔录，并绘制权属争议区域图，由勘验人、权属纠纷当事人和基层组织代表签名或者盖章。</w:t>
            </w:r>
            <w:r>
              <w:rPr>
                <w:rFonts w:cs="Times New Roman"/>
                <w:sz w:val="18"/>
                <w:szCs w:val="18"/>
              </w:rPr>
              <w:br w:type="textWrapping"/>
            </w:r>
            <w:r>
              <w:rPr>
                <w:rFonts w:cs="Times New Roman"/>
                <w:sz w:val="18"/>
                <w:szCs w:val="18"/>
              </w:rPr>
              <w:t xml:space="preserve">    3.【法规】《广西壮族自治区土地山林水利权属纠纷调解处理条例》（2002年9月27日广西壮族自治区第九届人民代表大会常务委员会第三十二次会议通过，2013年9月26日修订施行）第十二条各级人民政府处理土地山林水利权属纠纷，行政复议机关审理土地山林水利权属争议案件，应当先行调解，并将调解贯穿于受理、办理、决定全过程。第十四条土地山林水利权属纠纷当事人达成和解协议的，应当制作和解协议书，和解协议书自各方当事人签名、盖章或者按指印后生效。土地山林水利权属纠纷经人民调解、行政调解达成调解协议的，应当制作调解协议书。调解协议书自各方当事人签名、盖章或者按指印，调解员签名并加盖调解组织印章之日起生效。</w:t>
            </w:r>
            <w:r>
              <w:rPr>
                <w:rFonts w:cs="Times New Roman"/>
                <w:sz w:val="18"/>
                <w:szCs w:val="18"/>
              </w:rPr>
              <w:br w:type="textWrapping"/>
            </w:r>
            <w:r>
              <w:rPr>
                <w:rFonts w:cs="Times New Roman"/>
                <w:sz w:val="18"/>
                <w:szCs w:val="18"/>
              </w:rPr>
              <w:t xml:space="preserve">    4.【法规】《广西壮族自治区土地山林水利权属纠纷调解处理条例》（2002年9月27日广西壮族自治区第九届人民代表大会常务委员会第三十二次会议通过，2013年9月26日修订施行）第三条各级人民政府依法对本行政区域内发生的土地山林水利权属纠纷的调解、处理负总责。国土资源、林业、水利行政主管部门按照各自职责分别负责土地山林水利权属纠纷调解、处理的具体工作。县级以上人民政府的土地山林水利权属纠纷调解处理机构负责土地山林水利权属纠纷调解、处理的组织协调、督促指导工作，并负责人民政府交办的土地山林水利权属纠纷案件调解、处理的具体工作。</w:t>
            </w:r>
          </w:p>
        </w:tc>
        <w:tc>
          <w:tcPr>
            <w:tcW w:w="1981"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因不履行或不正确履行行政职责，有下列情形的，林业主管部门及其工作人员应承担相应责任</w:t>
            </w:r>
            <w:r>
              <w:rPr>
                <w:rFonts w:cs="Times New Roman"/>
                <w:sz w:val="18"/>
                <w:szCs w:val="18"/>
              </w:rPr>
              <w:br w:type="textWrapping"/>
            </w:r>
            <w:r>
              <w:rPr>
                <w:rFonts w:cs="Times New Roman"/>
                <w:sz w:val="18"/>
                <w:szCs w:val="18"/>
              </w:rPr>
              <w:t>1.对应当予以调解的纠纷未及时调解，致使公民.法人或者其他组织的合法权益加重损害的.</w:t>
            </w:r>
            <w:r>
              <w:rPr>
                <w:rFonts w:cs="Times New Roman"/>
                <w:sz w:val="18"/>
                <w:szCs w:val="18"/>
              </w:rPr>
              <w:br w:type="textWrapping"/>
            </w:r>
            <w:r>
              <w:rPr>
                <w:rFonts w:cs="Times New Roman"/>
                <w:sz w:val="18"/>
                <w:szCs w:val="18"/>
              </w:rPr>
              <w:t>2.没有法律或者事实依据实施行政调解的.</w:t>
            </w:r>
            <w:r>
              <w:rPr>
                <w:rFonts w:cs="Times New Roman"/>
                <w:sz w:val="18"/>
                <w:szCs w:val="18"/>
              </w:rPr>
              <w:br w:type="textWrapping"/>
            </w:r>
            <w:r>
              <w:rPr>
                <w:rFonts w:cs="Times New Roman"/>
                <w:sz w:val="18"/>
                <w:szCs w:val="18"/>
              </w:rPr>
              <w:t>3.未按法定程序或未遵循行政调解原则实施行政调解的.</w:t>
            </w:r>
            <w:r>
              <w:rPr>
                <w:rFonts w:cs="Times New Roman"/>
                <w:sz w:val="18"/>
                <w:szCs w:val="18"/>
              </w:rPr>
              <w:br w:type="textWrapping"/>
            </w:r>
            <w:r>
              <w:rPr>
                <w:rFonts w:cs="Times New Roman"/>
                <w:sz w:val="18"/>
                <w:szCs w:val="18"/>
              </w:rPr>
              <w:t>4.未严格遵守办案纪律，接受当事人吃请和收受好处的.</w:t>
            </w:r>
            <w:r>
              <w:rPr>
                <w:rFonts w:cs="Times New Roman"/>
                <w:sz w:val="18"/>
                <w:szCs w:val="18"/>
              </w:rPr>
              <w:br w:type="textWrapping"/>
            </w:r>
            <w:r>
              <w:rPr>
                <w:rFonts w:cs="Times New Roman"/>
                <w:sz w:val="18"/>
                <w:szCs w:val="18"/>
              </w:rPr>
              <w:t>5.未严格履行林业行政调解信息公开的责任与义务（当事人要求保密的除外）.</w:t>
            </w:r>
            <w:r>
              <w:rPr>
                <w:rFonts w:cs="Times New Roman"/>
                <w:sz w:val="18"/>
                <w:szCs w:val="18"/>
              </w:rPr>
              <w:br w:type="textWrapping"/>
            </w:r>
            <w:r>
              <w:rPr>
                <w:rFonts w:cs="Times New Roman"/>
                <w:sz w:val="18"/>
                <w:szCs w:val="18"/>
              </w:rPr>
              <w:t>6.其他违反法律法规政策规定的行为.</w:t>
            </w:r>
          </w:p>
        </w:tc>
        <w:tc>
          <w:tcPr>
            <w:tcW w:w="4653" w:type="dxa"/>
            <w:vAlign w:val="center"/>
          </w:tcPr>
          <w:p>
            <w:pPr>
              <w:pStyle w:val="5"/>
              <w:shd w:val="clear" w:color="auto" w:fill="FFFFFF"/>
              <w:spacing w:before="0" w:beforeAutospacing="0" w:after="0" w:afterAutospacing="0"/>
              <w:ind w:firstLine="360" w:firstLineChars="200"/>
              <w:rPr>
                <w:rFonts w:cs="Times New Roman"/>
                <w:sz w:val="18"/>
                <w:szCs w:val="18"/>
              </w:rPr>
            </w:pPr>
            <w:r>
              <w:rPr>
                <w:rFonts w:hint="eastAsia" w:cs="Times New Roman"/>
                <w:sz w:val="18"/>
                <w:szCs w:val="18"/>
              </w:rPr>
              <w:t>1.</w:t>
            </w:r>
            <w:r>
              <w:rPr>
                <w:rFonts w:cs="Times New Roman"/>
                <w:sz w:val="18"/>
                <w:szCs w:val="18"/>
              </w:rPr>
              <w:t>【法律】《</w:t>
            </w:r>
            <w:r>
              <w:fldChar w:fldCharType="begin"/>
            </w:r>
            <w:r>
              <w:instrText xml:space="preserve"> HYPERLINK "http://baike.baidu.com/view/4687.htm" </w:instrText>
            </w:r>
            <w:r>
              <w:fldChar w:fldCharType="separate"/>
            </w:r>
            <w:r>
              <w:rPr>
                <w:rFonts w:hint="eastAsia" w:cs="Times New Roman"/>
                <w:sz w:val="18"/>
                <w:szCs w:val="18"/>
              </w:rPr>
              <w:t>广西壮族自治区</w:t>
            </w:r>
            <w:r>
              <w:rPr>
                <w:rFonts w:hint="eastAsia" w:cs="Times New Roman"/>
                <w:sz w:val="18"/>
                <w:szCs w:val="18"/>
              </w:rPr>
              <w:fldChar w:fldCharType="end"/>
            </w:r>
            <w:r>
              <w:rPr>
                <w:rFonts w:hint="eastAsia" w:cs="Times New Roman"/>
                <w:sz w:val="18"/>
                <w:szCs w:val="18"/>
              </w:rPr>
              <w:t>土地山林水利权属纠纷调解处理条例》(广西壮族自治区人大常委会公告第61号)</w:t>
            </w:r>
            <w:r>
              <w:rPr>
                <w:rFonts w:cs="Times New Roman"/>
                <w:sz w:val="18"/>
                <w:szCs w:val="18"/>
              </w:rPr>
              <w:t>第三十九条 有关行政主管部门违反本条例规定，有下列行为之一，造成严重后果的，对直接负责的主管人员和其他直接责任人员依法给予行政处分：</w:t>
            </w:r>
          </w:p>
          <w:p>
            <w:pPr>
              <w:pStyle w:val="5"/>
              <w:shd w:val="clear" w:color="auto" w:fill="FFFFFF"/>
              <w:spacing w:before="0" w:beforeAutospacing="0" w:after="0" w:afterAutospacing="0"/>
              <w:rPr>
                <w:rFonts w:cs="Times New Roman"/>
                <w:sz w:val="18"/>
                <w:szCs w:val="18"/>
              </w:rPr>
            </w:pPr>
            <w:r>
              <w:rPr>
                <w:rFonts w:hint="eastAsia" w:cs="Times New Roman"/>
                <w:sz w:val="18"/>
                <w:szCs w:val="18"/>
              </w:rPr>
              <w:t>（一）对发生土地山林水利权属纠纷不报告，不及时采取措施处置的；</w:t>
            </w:r>
          </w:p>
          <w:p>
            <w:pPr>
              <w:pStyle w:val="5"/>
              <w:shd w:val="clear" w:color="auto" w:fill="FFFFFF"/>
              <w:spacing w:before="0" w:beforeAutospacing="0" w:after="0" w:afterAutospacing="0"/>
              <w:rPr>
                <w:rFonts w:cs="Times New Roman"/>
                <w:sz w:val="18"/>
                <w:szCs w:val="18"/>
              </w:rPr>
            </w:pPr>
            <w:r>
              <w:rPr>
                <w:rFonts w:hint="eastAsia" w:cs="Times New Roman"/>
                <w:sz w:val="18"/>
                <w:szCs w:val="18"/>
              </w:rPr>
              <w:t>（二）对权属纠纷调解处理申请应当受理而不予受理的；</w:t>
            </w:r>
          </w:p>
          <w:p>
            <w:pPr>
              <w:pStyle w:val="5"/>
              <w:shd w:val="clear" w:color="auto" w:fill="FFFFFF"/>
              <w:spacing w:before="0" w:beforeAutospacing="0" w:after="0" w:afterAutospacing="0"/>
              <w:rPr>
                <w:rFonts w:cs="Times New Roman"/>
                <w:sz w:val="18"/>
                <w:szCs w:val="18"/>
              </w:rPr>
            </w:pPr>
            <w:r>
              <w:rPr>
                <w:rFonts w:hint="eastAsia" w:cs="Times New Roman"/>
                <w:sz w:val="18"/>
                <w:szCs w:val="18"/>
              </w:rPr>
              <w:t>（三）对土地山林水利权属纠纷案件不调解、不处理或者未经调解直接作出处理决定的。</w:t>
            </w:r>
          </w:p>
          <w:p>
            <w:pPr>
              <w:pStyle w:val="5"/>
              <w:shd w:val="clear" w:color="auto" w:fill="FFFFFF"/>
              <w:spacing w:before="0" w:beforeAutospacing="0" w:after="0" w:afterAutospacing="0"/>
              <w:rPr>
                <w:rFonts w:cs="Times New Roman"/>
                <w:sz w:val="18"/>
                <w:szCs w:val="18"/>
              </w:rPr>
            </w:pPr>
            <w:r>
              <w:rPr>
                <w:rFonts w:hint="eastAsia" w:cs="Times New Roman"/>
                <w:sz w:val="18"/>
                <w:szCs w:val="18"/>
              </w:rPr>
              <w:t>第四十条 国家工作人员违反本条例规定，在调解、处理权属纠纷工作中，滥用职权、索贿受贿、徇私舞弊或者怂恿、挑唆群众的，依法给予行政处分。构成犯罪的，依法追究刑事责任。</w:t>
            </w:r>
          </w:p>
          <w:p>
            <w:pPr>
              <w:numPr>
                <w:ilvl w:val="0"/>
                <w:numId w:val="1"/>
              </w:numPr>
              <w:spacing w:line="240" w:lineRule="exact"/>
              <w:ind w:firstLine="540" w:firstLineChars="300"/>
              <w:rPr>
                <w:rFonts w:cs="Times New Roman"/>
                <w:sz w:val="18"/>
                <w:szCs w:val="18"/>
              </w:rPr>
            </w:pPr>
            <w:r>
              <w:rPr>
                <w:rFonts w:cs="Times New Roman"/>
                <w:sz w:val="18"/>
                <w:szCs w:val="18"/>
              </w:rPr>
              <w:t>同</w:t>
            </w:r>
            <w:r>
              <w:rPr>
                <w:rFonts w:hint="eastAsia" w:cs="Times New Roman"/>
                <w:sz w:val="18"/>
                <w:szCs w:val="18"/>
              </w:rPr>
              <w:t xml:space="preserve">1。     </w:t>
            </w:r>
            <w:r>
              <w:rPr>
                <w:rFonts w:cs="Times New Roman"/>
                <w:sz w:val="18"/>
                <w:szCs w:val="18"/>
              </w:rPr>
              <w:br w:type="textWrapping"/>
            </w:r>
            <w:r>
              <w:rPr>
                <w:rFonts w:cs="Times New Roman"/>
                <w:sz w:val="18"/>
                <w:szCs w:val="18"/>
              </w:rPr>
              <w:t>3.同</w:t>
            </w:r>
            <w:r>
              <w:rPr>
                <w:rFonts w:hint="eastAsia" w:cs="Times New Roman"/>
                <w:sz w:val="18"/>
                <w:szCs w:val="18"/>
              </w:rPr>
              <w:t>1</w:t>
            </w:r>
            <w:r>
              <w:rPr>
                <w:rFonts w:cs="Times New Roman"/>
                <w:sz w:val="18"/>
                <w:szCs w:val="18"/>
              </w:rPr>
              <w:t>。</w:t>
            </w:r>
            <w:r>
              <w:rPr>
                <w:rFonts w:cs="Times New Roman"/>
                <w:sz w:val="18"/>
                <w:szCs w:val="18"/>
              </w:rPr>
              <w:br w:type="textWrapping"/>
            </w:r>
            <w:r>
              <w:rPr>
                <w:rFonts w:cs="Times New Roman"/>
                <w:sz w:val="18"/>
                <w:szCs w:val="18"/>
              </w:rPr>
              <w:t>4.同</w:t>
            </w:r>
            <w:r>
              <w:rPr>
                <w:rFonts w:hint="eastAsia" w:cs="Times New Roman"/>
                <w:sz w:val="18"/>
                <w:szCs w:val="18"/>
              </w:rPr>
              <w:t>1。</w:t>
            </w:r>
          </w:p>
          <w:p>
            <w:pPr>
              <w:spacing w:line="240" w:lineRule="exact"/>
              <w:rPr>
                <w:rFonts w:cs="Times New Roman"/>
                <w:sz w:val="18"/>
                <w:szCs w:val="18"/>
              </w:rPr>
            </w:pPr>
            <w:r>
              <w:rPr>
                <w:rFonts w:hint="eastAsia" w:cs="Times New Roman"/>
                <w:sz w:val="18"/>
                <w:szCs w:val="18"/>
              </w:rPr>
              <w:t xml:space="preserve">      5.</w:t>
            </w:r>
            <w:r>
              <w:rPr>
                <w:rFonts w:cs="Times New Roman"/>
                <w:sz w:val="18"/>
                <w:szCs w:val="18"/>
              </w:rPr>
              <w:t>同</w:t>
            </w:r>
            <w:r>
              <w:rPr>
                <w:rFonts w:hint="eastAsia" w:cs="Times New Roman"/>
                <w:sz w:val="18"/>
                <w:szCs w:val="18"/>
              </w:rPr>
              <w:t>1。</w:t>
            </w:r>
          </w:p>
        </w:tc>
        <w:tc>
          <w:tcPr>
            <w:tcW w:w="608"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p>
      <w:pPr>
        <w:spacing w:line="240" w:lineRule="exact"/>
        <w:rPr>
          <w:rFonts w:cs="Times New Roman"/>
          <w:sz w:val="18"/>
          <w:szCs w:val="18"/>
        </w:rPr>
      </w:pPr>
    </w:p>
    <w:tbl>
      <w:tblPr>
        <w:tblStyle w:val="7"/>
        <w:tblW w:w="22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02"/>
        <w:gridCol w:w="847"/>
        <w:gridCol w:w="731"/>
        <w:gridCol w:w="3423"/>
        <w:gridCol w:w="2696"/>
        <w:gridCol w:w="5818"/>
        <w:gridCol w:w="1994"/>
        <w:gridCol w:w="4682"/>
        <w:gridCol w:w="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35" w:type="dxa"/>
            <w:vAlign w:val="center"/>
          </w:tcPr>
          <w:p>
            <w:pPr>
              <w:spacing w:line="280" w:lineRule="exact"/>
              <w:jc w:val="center"/>
              <w:rPr>
                <w:rFonts w:cs="Times New Roman"/>
                <w:sz w:val="18"/>
                <w:szCs w:val="18"/>
              </w:rPr>
            </w:pPr>
            <w:r>
              <w:rPr>
                <w:rFonts w:cs="Times New Roman"/>
                <w:sz w:val="18"/>
                <w:szCs w:val="18"/>
              </w:rPr>
              <w:t>序号</w:t>
            </w:r>
          </w:p>
        </w:tc>
        <w:tc>
          <w:tcPr>
            <w:tcW w:w="702" w:type="dxa"/>
            <w:vAlign w:val="center"/>
          </w:tcPr>
          <w:p>
            <w:pPr>
              <w:spacing w:line="280" w:lineRule="exact"/>
              <w:jc w:val="center"/>
              <w:rPr>
                <w:rFonts w:cs="Times New Roman"/>
                <w:sz w:val="18"/>
                <w:szCs w:val="18"/>
              </w:rPr>
            </w:pPr>
            <w:r>
              <w:rPr>
                <w:rFonts w:cs="Times New Roman"/>
                <w:sz w:val="18"/>
                <w:szCs w:val="18"/>
              </w:rPr>
              <w:t>权力分类</w:t>
            </w:r>
          </w:p>
        </w:tc>
        <w:tc>
          <w:tcPr>
            <w:tcW w:w="847" w:type="dxa"/>
            <w:vAlign w:val="center"/>
          </w:tcPr>
          <w:p>
            <w:pPr>
              <w:spacing w:line="280" w:lineRule="exact"/>
              <w:jc w:val="center"/>
              <w:rPr>
                <w:rFonts w:cs="Times New Roman"/>
                <w:sz w:val="18"/>
                <w:szCs w:val="18"/>
              </w:rPr>
            </w:pPr>
            <w:r>
              <w:rPr>
                <w:rFonts w:cs="Times New Roman"/>
                <w:sz w:val="18"/>
                <w:szCs w:val="18"/>
              </w:rPr>
              <w:t>项目名称</w:t>
            </w:r>
          </w:p>
        </w:tc>
        <w:tc>
          <w:tcPr>
            <w:tcW w:w="731" w:type="dxa"/>
            <w:vAlign w:val="center"/>
          </w:tcPr>
          <w:p>
            <w:pPr>
              <w:spacing w:line="280" w:lineRule="exact"/>
              <w:jc w:val="center"/>
              <w:rPr>
                <w:rFonts w:cs="Times New Roman"/>
                <w:sz w:val="18"/>
                <w:szCs w:val="18"/>
              </w:rPr>
            </w:pPr>
            <w:r>
              <w:rPr>
                <w:rFonts w:cs="Times New Roman"/>
                <w:sz w:val="18"/>
                <w:szCs w:val="18"/>
              </w:rPr>
              <w:t>子项</w:t>
            </w:r>
          </w:p>
        </w:tc>
        <w:tc>
          <w:tcPr>
            <w:tcW w:w="3423" w:type="dxa"/>
            <w:vAlign w:val="center"/>
          </w:tcPr>
          <w:p>
            <w:pPr>
              <w:spacing w:line="280" w:lineRule="exact"/>
              <w:jc w:val="center"/>
              <w:rPr>
                <w:rFonts w:cs="Times New Roman"/>
                <w:sz w:val="18"/>
                <w:szCs w:val="18"/>
              </w:rPr>
            </w:pPr>
            <w:r>
              <w:rPr>
                <w:rFonts w:cs="Times New Roman"/>
                <w:sz w:val="18"/>
                <w:szCs w:val="18"/>
              </w:rPr>
              <w:t>实施依据</w:t>
            </w:r>
          </w:p>
        </w:tc>
        <w:tc>
          <w:tcPr>
            <w:tcW w:w="2696" w:type="dxa"/>
            <w:vAlign w:val="center"/>
          </w:tcPr>
          <w:p>
            <w:pPr>
              <w:spacing w:line="280" w:lineRule="exact"/>
              <w:jc w:val="center"/>
              <w:rPr>
                <w:rFonts w:cs="Times New Roman"/>
                <w:sz w:val="18"/>
                <w:szCs w:val="18"/>
              </w:rPr>
            </w:pPr>
            <w:r>
              <w:rPr>
                <w:rFonts w:cs="Times New Roman"/>
                <w:sz w:val="18"/>
                <w:szCs w:val="18"/>
              </w:rPr>
              <w:t>责任事项</w:t>
            </w:r>
          </w:p>
        </w:tc>
        <w:tc>
          <w:tcPr>
            <w:tcW w:w="5818" w:type="dxa"/>
            <w:vAlign w:val="center"/>
          </w:tcPr>
          <w:p>
            <w:pPr>
              <w:spacing w:line="280" w:lineRule="exact"/>
              <w:jc w:val="center"/>
              <w:rPr>
                <w:rFonts w:cs="Times New Roman"/>
                <w:sz w:val="18"/>
                <w:szCs w:val="18"/>
              </w:rPr>
            </w:pPr>
            <w:r>
              <w:rPr>
                <w:rFonts w:cs="Times New Roman"/>
                <w:sz w:val="18"/>
                <w:szCs w:val="18"/>
              </w:rPr>
              <w:t>责任事项依据</w:t>
            </w:r>
          </w:p>
        </w:tc>
        <w:tc>
          <w:tcPr>
            <w:tcW w:w="1994" w:type="dxa"/>
            <w:vAlign w:val="center"/>
          </w:tcPr>
          <w:p>
            <w:pPr>
              <w:spacing w:line="280" w:lineRule="exact"/>
              <w:jc w:val="center"/>
              <w:rPr>
                <w:rFonts w:cs="Times New Roman"/>
                <w:sz w:val="18"/>
                <w:szCs w:val="18"/>
              </w:rPr>
            </w:pPr>
            <w:r>
              <w:rPr>
                <w:rFonts w:cs="Times New Roman"/>
                <w:sz w:val="18"/>
                <w:szCs w:val="18"/>
              </w:rPr>
              <w:t>追责情形</w:t>
            </w:r>
          </w:p>
        </w:tc>
        <w:tc>
          <w:tcPr>
            <w:tcW w:w="4682" w:type="dxa"/>
            <w:vAlign w:val="center"/>
          </w:tcPr>
          <w:p>
            <w:pPr>
              <w:spacing w:line="280" w:lineRule="exact"/>
              <w:jc w:val="center"/>
              <w:rPr>
                <w:rFonts w:cs="Times New Roman"/>
                <w:sz w:val="18"/>
                <w:szCs w:val="18"/>
              </w:rPr>
            </w:pPr>
            <w:r>
              <w:rPr>
                <w:rFonts w:cs="Times New Roman"/>
                <w:sz w:val="18"/>
                <w:szCs w:val="18"/>
              </w:rPr>
              <w:t>追责依据</w:t>
            </w:r>
          </w:p>
        </w:tc>
        <w:tc>
          <w:tcPr>
            <w:tcW w:w="612" w:type="dxa"/>
            <w:vAlign w:val="center"/>
          </w:tcPr>
          <w:p>
            <w:pPr>
              <w:spacing w:line="280" w:lineRule="exact"/>
              <w:jc w:val="center"/>
              <w:rPr>
                <w:rFonts w:cs="Times New Roman"/>
                <w:sz w:val="18"/>
                <w:szCs w:val="18"/>
              </w:rPr>
            </w:pPr>
            <w:r>
              <w:rPr>
                <w:rFonts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7" w:hRule="atLeast"/>
          <w:jc w:val="center"/>
        </w:trPr>
        <w:tc>
          <w:tcPr>
            <w:tcW w:w="735" w:type="dxa"/>
            <w:vAlign w:val="center"/>
          </w:tcPr>
          <w:p>
            <w:pPr>
              <w:spacing w:line="240" w:lineRule="exact"/>
              <w:rPr>
                <w:rFonts w:cs="Times New Roman"/>
                <w:sz w:val="18"/>
                <w:szCs w:val="18"/>
              </w:rPr>
            </w:pPr>
            <w:r>
              <w:rPr>
                <w:rFonts w:hint="eastAsia" w:cs="Times New Roman"/>
                <w:sz w:val="18"/>
                <w:szCs w:val="18"/>
              </w:rPr>
              <w:t>81</w:t>
            </w:r>
          </w:p>
        </w:tc>
        <w:tc>
          <w:tcPr>
            <w:tcW w:w="702" w:type="dxa"/>
            <w:vAlign w:val="center"/>
          </w:tcPr>
          <w:p>
            <w:pPr>
              <w:spacing w:line="240" w:lineRule="exact"/>
              <w:rPr>
                <w:rFonts w:cs="Times New Roman"/>
                <w:sz w:val="18"/>
                <w:szCs w:val="18"/>
              </w:rPr>
            </w:pPr>
            <w:r>
              <w:rPr>
                <w:rFonts w:cs="Times New Roman"/>
                <w:sz w:val="18"/>
                <w:szCs w:val="18"/>
              </w:rPr>
              <w:t>其他权力</w:t>
            </w:r>
          </w:p>
        </w:tc>
        <w:tc>
          <w:tcPr>
            <w:tcW w:w="847" w:type="dxa"/>
            <w:vAlign w:val="center"/>
          </w:tcPr>
          <w:p>
            <w:pPr>
              <w:spacing w:line="240" w:lineRule="exact"/>
              <w:rPr>
                <w:rFonts w:cs="Times New Roman"/>
                <w:sz w:val="18"/>
                <w:szCs w:val="18"/>
              </w:rPr>
            </w:pPr>
            <w:r>
              <w:rPr>
                <w:rFonts w:cs="Times New Roman"/>
                <w:sz w:val="18"/>
                <w:szCs w:val="18"/>
              </w:rPr>
              <w:t>核发《产地检疫合格证》</w:t>
            </w:r>
          </w:p>
        </w:tc>
        <w:tc>
          <w:tcPr>
            <w:tcW w:w="731" w:type="dxa"/>
            <w:vAlign w:val="center"/>
          </w:tcPr>
          <w:p>
            <w:pPr>
              <w:spacing w:line="240" w:lineRule="exact"/>
              <w:rPr>
                <w:rFonts w:cs="Times New Roman"/>
                <w:sz w:val="18"/>
                <w:szCs w:val="18"/>
              </w:rPr>
            </w:pPr>
            <w:r>
              <w:rPr>
                <w:rFonts w:cs="Times New Roman"/>
                <w:sz w:val="18"/>
                <w:szCs w:val="18"/>
              </w:rPr>
              <w:t>　</w:t>
            </w:r>
          </w:p>
        </w:tc>
        <w:tc>
          <w:tcPr>
            <w:tcW w:w="3423" w:type="dxa"/>
            <w:vAlign w:val="center"/>
          </w:tcPr>
          <w:p>
            <w:pPr>
              <w:spacing w:line="240" w:lineRule="exact"/>
              <w:ind w:firstLine="360" w:firstLineChars="200"/>
              <w:rPr>
                <w:rFonts w:cs="Times New Roman"/>
                <w:sz w:val="18"/>
                <w:szCs w:val="18"/>
              </w:rPr>
            </w:pPr>
            <w:r>
              <w:rPr>
                <w:rFonts w:cs="Times New Roman"/>
                <w:sz w:val="18"/>
                <w:szCs w:val="18"/>
              </w:rPr>
              <w:t>【法规】《植物检疫条例》（1992年5月13日国务院令第98号修订）第十一条种子、苗木和其它繁殖材料的繁殖单位，必须有计划地建立无植物检疫对象的种苗繁育基地、母树林基地。试验、推广的种子、苗木和其它繁殖材料，不得带有植物检疫对象。植物检疫机构应实施产地检疫。</w:t>
            </w:r>
            <w:r>
              <w:rPr>
                <w:rFonts w:cs="Times New Roman"/>
                <w:sz w:val="18"/>
                <w:szCs w:val="18"/>
              </w:rPr>
              <w:br w:type="textWrapping"/>
            </w:r>
            <w:r>
              <w:rPr>
                <w:rFonts w:cs="Times New Roman"/>
                <w:sz w:val="18"/>
                <w:szCs w:val="18"/>
              </w:rPr>
              <w:t>【规章】《植物检疫条例实施细则（林业部分）》(国家林业局令第26号，2011年修正）第十二条：生产、经营应施检疫的森林植物及其产品的单位和个人，应当在生产期间或者调运之前向当地森检机构申请产地检疫。对检疫合格的，由森检员或者兼职森检员发给《产地检疫合格证》；对检疫不合格的，发给《检疫处理通知单》；产地检疫的技术要求按照《国内森林植物检疫技术规程》的规定执行。</w:t>
            </w:r>
          </w:p>
        </w:tc>
        <w:tc>
          <w:tcPr>
            <w:tcW w:w="2696" w:type="dxa"/>
            <w:vAlign w:val="center"/>
          </w:tcPr>
          <w:p>
            <w:pPr>
              <w:spacing w:line="240" w:lineRule="exact"/>
              <w:rPr>
                <w:rFonts w:cs="Times New Roman"/>
                <w:sz w:val="18"/>
                <w:szCs w:val="18"/>
              </w:rPr>
            </w:pPr>
            <w:r>
              <w:rPr>
                <w:rFonts w:cs="Times New Roman"/>
                <w:b/>
                <w:bCs/>
                <w:sz w:val="18"/>
                <w:szCs w:val="18"/>
              </w:rPr>
              <w:t>1.受理环节责任</w:t>
            </w:r>
            <w:r>
              <w:rPr>
                <w:rFonts w:cs="Times New Roman"/>
                <w:sz w:val="18"/>
                <w:szCs w:val="18"/>
              </w:rPr>
              <w:t>：公示依法应当提交的材料；一次性告知补正材料，依法受理或不予受理（不予受理的应当告知理由）。</w:t>
            </w:r>
            <w:r>
              <w:rPr>
                <w:rFonts w:cs="Times New Roman"/>
                <w:sz w:val="18"/>
                <w:szCs w:val="18"/>
              </w:rPr>
              <w:br w:type="textWrapping"/>
            </w:r>
            <w:r>
              <w:rPr>
                <w:rFonts w:cs="Times New Roman"/>
                <w:b/>
                <w:bCs/>
                <w:sz w:val="18"/>
                <w:szCs w:val="18"/>
              </w:rPr>
              <w:t xml:space="preserve"> 2.审查环节责任</w:t>
            </w:r>
            <w:r>
              <w:rPr>
                <w:rFonts w:cs="Times New Roman"/>
                <w:sz w:val="18"/>
                <w:szCs w:val="18"/>
              </w:rPr>
              <w:t>：审查应当提交的材料。</w:t>
            </w:r>
            <w:r>
              <w:rPr>
                <w:rFonts w:cs="Times New Roman"/>
                <w:sz w:val="18"/>
                <w:szCs w:val="18"/>
              </w:rPr>
              <w:br w:type="textWrapping"/>
            </w:r>
            <w:r>
              <w:rPr>
                <w:rFonts w:cs="Times New Roman"/>
                <w:b/>
                <w:bCs/>
                <w:sz w:val="18"/>
                <w:szCs w:val="18"/>
              </w:rPr>
              <w:t>3.决定环节责任</w:t>
            </w:r>
            <w:r>
              <w:rPr>
                <w:rFonts w:cs="Times New Roman"/>
                <w:sz w:val="18"/>
                <w:szCs w:val="18"/>
              </w:rPr>
              <w:t>：作出发放或不予发放的决定（不予发放的应当告知理由），按时办结。</w:t>
            </w:r>
            <w:r>
              <w:rPr>
                <w:rFonts w:cs="Times New Roman"/>
                <w:sz w:val="18"/>
                <w:szCs w:val="18"/>
              </w:rPr>
              <w:br w:type="textWrapping"/>
            </w:r>
            <w:r>
              <w:rPr>
                <w:rFonts w:cs="Times New Roman"/>
                <w:b/>
                <w:bCs/>
                <w:sz w:val="18"/>
                <w:szCs w:val="18"/>
              </w:rPr>
              <w:t xml:space="preserve"> 4.送达环节责任</w:t>
            </w:r>
            <w:r>
              <w:rPr>
                <w:rFonts w:cs="Times New Roman"/>
                <w:sz w:val="18"/>
                <w:szCs w:val="18"/>
              </w:rPr>
              <w:t>：对未发现异常，相关材料合格的，签发并送达《产地检疫合格证》。</w:t>
            </w:r>
            <w:r>
              <w:rPr>
                <w:rFonts w:cs="Times New Roman"/>
                <w:sz w:val="18"/>
                <w:szCs w:val="18"/>
              </w:rPr>
              <w:br w:type="textWrapping"/>
            </w:r>
            <w:r>
              <w:rPr>
                <w:rFonts w:cs="Times New Roman"/>
                <w:b/>
                <w:bCs/>
                <w:sz w:val="18"/>
                <w:szCs w:val="18"/>
              </w:rPr>
              <w:t xml:space="preserve"> 5.事后监管责任</w:t>
            </w:r>
            <w:r>
              <w:rPr>
                <w:rFonts w:cs="Times New Roman"/>
                <w:sz w:val="18"/>
                <w:szCs w:val="18"/>
              </w:rPr>
              <w:t>：留存相关资料。</w:t>
            </w:r>
            <w:r>
              <w:rPr>
                <w:rFonts w:cs="Times New Roman"/>
                <w:sz w:val="18"/>
                <w:szCs w:val="18"/>
              </w:rPr>
              <w:br w:type="textWrapping"/>
            </w:r>
            <w:r>
              <w:rPr>
                <w:rFonts w:cs="Times New Roman"/>
                <w:b/>
                <w:bCs/>
                <w:sz w:val="18"/>
                <w:szCs w:val="18"/>
              </w:rPr>
              <w:t xml:space="preserve"> 6.其他法律法规规章文件规定应履行的责任</w:t>
            </w:r>
            <w:r>
              <w:rPr>
                <w:rFonts w:cs="Times New Roman"/>
                <w:sz w:val="18"/>
                <w:szCs w:val="18"/>
              </w:rPr>
              <w:t>。</w:t>
            </w:r>
          </w:p>
        </w:tc>
        <w:tc>
          <w:tcPr>
            <w:tcW w:w="5818" w:type="dxa"/>
            <w:vAlign w:val="center"/>
          </w:tcPr>
          <w:p>
            <w:pPr>
              <w:spacing w:line="240" w:lineRule="exact"/>
              <w:rPr>
                <w:rFonts w:cs="Times New Roman"/>
                <w:sz w:val="18"/>
                <w:szCs w:val="18"/>
              </w:rPr>
            </w:pPr>
            <w:r>
              <w:rPr>
                <w:rFonts w:cs="Times New Roman"/>
                <w:sz w:val="18"/>
                <w:szCs w:val="18"/>
              </w:rPr>
              <w:t xml:space="preserve">    1.【法律】《中华人民共和国行政许可法》（2003年8月27日主席令第七号公布）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cs="Times New Roman"/>
                <w:sz w:val="18"/>
                <w:szCs w:val="18"/>
              </w:rPr>
              <w:br w:type="textWrapping"/>
            </w:r>
            <w:r>
              <w:rPr>
                <w:rFonts w:cs="Times New Roman"/>
                <w:sz w:val="18"/>
                <w:szCs w:val="18"/>
              </w:rPr>
              <w:t xml:space="preserve">    2.【法律】《中华人民共和国行政许可法》（2003年8月27日主席令第七号公布）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Pr>
                <w:rFonts w:cs="Times New Roman"/>
                <w:sz w:val="18"/>
                <w:szCs w:val="18"/>
              </w:rPr>
              <w:br w:type="textWrapping"/>
            </w:r>
            <w:r>
              <w:rPr>
                <w:rFonts w:cs="Times New Roman"/>
                <w:sz w:val="18"/>
                <w:szCs w:val="18"/>
              </w:rPr>
              <w:t xml:space="preserve">    3.【法律】《中华人民共和国行政许可法》（2003年8月27日主席令第七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cs="Times New Roman"/>
                <w:sz w:val="18"/>
                <w:szCs w:val="18"/>
              </w:rPr>
              <w:br w:type="textWrapping"/>
            </w:r>
            <w:r>
              <w:rPr>
                <w:rFonts w:cs="Times New Roman"/>
                <w:sz w:val="18"/>
                <w:szCs w:val="18"/>
              </w:rPr>
              <w:t xml:space="preserve">    4.【法律】《中华人民共和国行政许可法》（2003年8月27日主席令第七号公布）第三十九条行政机关作出准予行政许可的决定，需要颁发行政许可证件的，应当向申请人颁发加盖本行政机关印章的下列行政许可证件…</w:t>
            </w:r>
            <w:r>
              <w:rPr>
                <w:rFonts w:cs="Times New Roman"/>
                <w:sz w:val="18"/>
                <w:szCs w:val="18"/>
              </w:rPr>
              <w:br w:type="textWrapping"/>
            </w:r>
            <w:r>
              <w:rPr>
                <w:rFonts w:cs="Times New Roman"/>
                <w:sz w:val="18"/>
                <w:szCs w:val="18"/>
              </w:rPr>
              <w:t xml:space="preserve">    5.【法律】《中华人民共和国行政许可法》（2003年8月27日主席令第七号公布）第四十条行政机关作出的准予行政许可决定，应当予以公开，公众有权查阅。</w:t>
            </w:r>
          </w:p>
        </w:tc>
        <w:tc>
          <w:tcPr>
            <w:tcW w:w="1994" w:type="dxa"/>
            <w:vAlign w:val="center"/>
          </w:tcPr>
          <w:p>
            <w:pPr>
              <w:spacing w:line="240" w:lineRule="exact"/>
              <w:ind w:firstLine="360" w:firstLineChars="200"/>
              <w:rPr>
                <w:rFonts w:cs="Times New Roman"/>
                <w:sz w:val="18"/>
                <w:szCs w:val="18"/>
              </w:rPr>
            </w:pPr>
            <w:r>
              <w:rPr>
                <w:rFonts w:cs="Times New Roman"/>
                <w:sz w:val="18"/>
                <w:szCs w:val="18"/>
              </w:rPr>
              <w:t>因不履行或不正确履行行政职责，有下列情形的，行政机关及相关工作人员应承担相应责任：</w:t>
            </w:r>
            <w:r>
              <w:rPr>
                <w:rFonts w:cs="Times New Roman"/>
                <w:sz w:val="18"/>
                <w:szCs w:val="18"/>
              </w:rPr>
              <w:br w:type="textWrapping"/>
            </w:r>
            <w:r>
              <w:rPr>
                <w:rFonts w:cs="Times New Roman"/>
                <w:sz w:val="18"/>
                <w:szCs w:val="18"/>
              </w:rPr>
              <w:t>1.对符合法定条件的申请不予受理的；</w:t>
            </w:r>
            <w:r>
              <w:rPr>
                <w:rFonts w:cs="Times New Roman"/>
                <w:sz w:val="18"/>
                <w:szCs w:val="18"/>
              </w:rPr>
              <w:br w:type="textWrapping"/>
            </w:r>
            <w:r>
              <w:rPr>
                <w:rFonts w:cs="Times New Roman"/>
                <w:sz w:val="18"/>
                <w:szCs w:val="18"/>
              </w:rPr>
              <w:t>2.不具备专职检疫员资格签发《植物检疫证书》的；</w:t>
            </w:r>
            <w:r>
              <w:rPr>
                <w:rFonts w:cs="Times New Roman"/>
                <w:sz w:val="18"/>
                <w:szCs w:val="18"/>
              </w:rPr>
              <w:br w:type="textWrapping"/>
            </w:r>
            <w:r>
              <w:rPr>
                <w:rFonts w:cs="Times New Roman"/>
                <w:sz w:val="18"/>
                <w:szCs w:val="18"/>
              </w:rPr>
              <w:t>3.对不符合法定条件的申请作出审批决定的；</w:t>
            </w:r>
            <w:r>
              <w:rPr>
                <w:rFonts w:cs="Times New Roman"/>
                <w:sz w:val="18"/>
                <w:szCs w:val="18"/>
              </w:rPr>
              <w:br w:type="textWrapping"/>
            </w:r>
            <w:r>
              <w:rPr>
                <w:rFonts w:cs="Times New Roman"/>
                <w:sz w:val="18"/>
                <w:szCs w:val="18"/>
              </w:rPr>
              <w:t>4.在检疫检查过程中乱收费的；</w:t>
            </w:r>
            <w:r>
              <w:rPr>
                <w:rFonts w:cs="Times New Roman"/>
                <w:sz w:val="18"/>
                <w:szCs w:val="18"/>
              </w:rPr>
              <w:br w:type="textWrapping"/>
            </w:r>
            <w:r>
              <w:rPr>
                <w:rFonts w:cs="Times New Roman"/>
                <w:sz w:val="18"/>
                <w:szCs w:val="18"/>
              </w:rPr>
              <w:t>5.在检疫检查过程中发生腐败行为的；</w:t>
            </w:r>
            <w:r>
              <w:rPr>
                <w:rFonts w:cs="Times New Roman"/>
                <w:sz w:val="18"/>
                <w:szCs w:val="18"/>
              </w:rPr>
              <w:br w:type="textWrapping"/>
            </w:r>
            <w:r>
              <w:rPr>
                <w:rFonts w:cs="Times New Roman"/>
                <w:sz w:val="18"/>
                <w:szCs w:val="18"/>
              </w:rPr>
              <w:t>6.在实施检疫检查时工作人员滥用职权、玩忽职守、徇私舞弊的；</w:t>
            </w:r>
            <w:r>
              <w:rPr>
                <w:rFonts w:cs="Times New Roman"/>
                <w:sz w:val="18"/>
                <w:szCs w:val="18"/>
              </w:rPr>
              <w:br w:type="textWrapping"/>
            </w:r>
            <w:r>
              <w:rPr>
                <w:rFonts w:cs="Times New Roman"/>
                <w:sz w:val="18"/>
                <w:szCs w:val="18"/>
              </w:rPr>
              <w:t>7.其他违反法律法规规章文件规定的行为。</w:t>
            </w:r>
          </w:p>
        </w:tc>
        <w:tc>
          <w:tcPr>
            <w:tcW w:w="4682" w:type="dxa"/>
            <w:vAlign w:val="center"/>
          </w:tcPr>
          <w:p>
            <w:pPr>
              <w:spacing w:line="240" w:lineRule="exact"/>
              <w:ind w:firstLine="360" w:firstLineChars="200"/>
              <w:rPr>
                <w:rFonts w:cs="Times New Roman"/>
                <w:sz w:val="18"/>
                <w:szCs w:val="18"/>
              </w:rPr>
            </w:pPr>
            <w:r>
              <w:rPr>
                <w:rFonts w:cs="Times New Roman"/>
                <w:sz w:val="18"/>
                <w:szCs w:val="18"/>
              </w:rPr>
              <w:t>1.【法律】《中华人民共和国行政许可法》（2003年8月27日主席令第七号公布）第七十二条第（一）项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r>
              <w:rPr>
                <w:rFonts w:cs="Times New Roman"/>
                <w:sz w:val="18"/>
                <w:szCs w:val="18"/>
              </w:rPr>
              <w:br w:type="textWrapping"/>
            </w:r>
            <w:r>
              <w:rPr>
                <w:rFonts w:cs="Times New Roman"/>
                <w:sz w:val="18"/>
                <w:szCs w:val="18"/>
              </w:rPr>
              <w:t>2.【规章】《植物检疫条例实施细则（林业部分）》(国家林业局令第26号，2011年修正）第四条兼职森检员不得签发《植物检疫证书》。</w:t>
            </w:r>
            <w:r>
              <w:rPr>
                <w:rFonts w:cs="Times New Roman"/>
                <w:sz w:val="18"/>
                <w:szCs w:val="18"/>
              </w:rPr>
              <w:br w:type="textWrapping"/>
            </w:r>
            <w:r>
              <w:rPr>
                <w:rFonts w:cs="Times New Roman"/>
                <w:sz w:val="18"/>
                <w:szCs w:val="18"/>
              </w:rPr>
              <w:t>3.【法律】《中华人民共和国行政许可法》（2003年8月27日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r>
              <w:rPr>
                <w:rFonts w:cs="Times New Roman"/>
                <w:sz w:val="18"/>
                <w:szCs w:val="18"/>
              </w:rPr>
              <w:br w:type="textWrapping"/>
            </w:r>
            <w:r>
              <w:rPr>
                <w:rFonts w:cs="Times New Roman"/>
                <w:sz w:val="18"/>
                <w:szCs w:val="18"/>
              </w:rPr>
              <w:t>4.【法律】《中华人民共和国行政许可法》（2003年8月27日主席令第七号公布）第七十五条行政机关实施行政许可，擅自收费或者不按照法定项目和标准收费的，由其上级行政机关或者监察机关责令退还非法收取的费用；对直接负责的主管人员和其他直接责任人员依法给予行政处分。</w:t>
            </w:r>
            <w:r>
              <w:rPr>
                <w:rFonts w:cs="Times New Roman"/>
                <w:sz w:val="18"/>
                <w:szCs w:val="18"/>
              </w:rPr>
              <w:br w:type="textWrapping"/>
            </w:r>
            <w:r>
              <w:rPr>
                <w:rFonts w:cs="Times New Roman"/>
                <w:sz w:val="18"/>
                <w:szCs w:val="18"/>
              </w:rPr>
              <w:t>5.【法律】《中华人民共和国行政许可法》（2003年8月27日主席令第七号公布）第七十五条截留、挪用、私分或者变相私分实施行政许可依法收取的费用的，予以追缴；对直接负责的主管人员和其他直接责任人员依法给予行政处分；构成犯罪的，依法追究刑事责任。</w:t>
            </w:r>
            <w:r>
              <w:rPr>
                <w:rFonts w:cs="Times New Roman"/>
                <w:sz w:val="18"/>
                <w:szCs w:val="18"/>
              </w:rPr>
              <w:br w:type="textWrapping"/>
            </w:r>
            <w:r>
              <w:rPr>
                <w:rFonts w:cs="Times New Roman"/>
                <w:sz w:val="18"/>
                <w:szCs w:val="18"/>
              </w:rPr>
              <w:t>6.【规章】《植物检疫条例实施细则（林业部分）》(国家林业局令第26号</w:t>
            </w:r>
            <w:r>
              <w:rPr>
                <w:rFonts w:hint="eastAsia" w:cs="Times New Roman"/>
                <w:sz w:val="18"/>
                <w:szCs w:val="18"/>
              </w:rPr>
              <w:t>公布</w:t>
            </w:r>
            <w:r>
              <w:rPr>
                <w:rFonts w:cs="Times New Roman"/>
                <w:sz w:val="18"/>
                <w:szCs w:val="18"/>
              </w:rPr>
              <w:t>，2011年修正）第三十一条森检人员在工作中徇私舞弊、玩忽职守造成重大损失的，由其所在单位或者上级主管机关给予行政处分；构成犯罪的，由司法机关依法追究刑事责任。</w:t>
            </w:r>
          </w:p>
        </w:tc>
        <w:tc>
          <w:tcPr>
            <w:tcW w:w="612" w:type="dxa"/>
            <w:vAlign w:val="center"/>
          </w:tcPr>
          <w:p>
            <w:pPr>
              <w:spacing w:line="240" w:lineRule="exact"/>
              <w:rPr>
                <w:rFonts w:cs="Times New Roman"/>
                <w:sz w:val="18"/>
                <w:szCs w:val="18"/>
              </w:rPr>
            </w:pPr>
          </w:p>
        </w:tc>
      </w:tr>
    </w:tbl>
    <w:p>
      <w:pPr>
        <w:spacing w:line="240" w:lineRule="exact"/>
        <w:rPr>
          <w:rFonts w:cs="Times New Roman"/>
          <w:sz w:val="18"/>
          <w:szCs w:val="18"/>
        </w:rPr>
      </w:pPr>
    </w:p>
    <w:p>
      <w:pPr>
        <w:spacing w:line="240" w:lineRule="exact"/>
        <w:rPr>
          <w:rFonts w:cs="Times New Roman"/>
          <w:sz w:val="18"/>
          <w:szCs w:val="18"/>
        </w:rPr>
      </w:pPr>
    </w:p>
    <w:sectPr>
      <w:footerReference r:id="rId3" w:type="default"/>
      <w:pgSz w:w="23814" w:h="16839" w:orient="landscape"/>
      <w:pgMar w:top="1134" w:right="1134" w:bottom="1134" w:left="1134" w:header="850" w:footer="624"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tabs>
        <w:tab w:val="left" w:pos="10537"/>
        <w:tab w:val="center" w:pos="10773"/>
      </w:tabs>
      <w:rPr>
        <w:rFonts w:ascii="Times New Roman" w:hAnsi="Times New Roman"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5C93FB"/>
    <w:multiLevelType w:val="singleLevel"/>
    <w:tmpl w:val="595C93F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B1C56"/>
    <w:rsid w:val="00010F6B"/>
    <w:rsid w:val="00012FA9"/>
    <w:rsid w:val="000166D2"/>
    <w:rsid w:val="00022604"/>
    <w:rsid w:val="00041A05"/>
    <w:rsid w:val="0004609B"/>
    <w:rsid w:val="000478DE"/>
    <w:rsid w:val="00050522"/>
    <w:rsid w:val="000506C6"/>
    <w:rsid w:val="00051961"/>
    <w:rsid w:val="00051F92"/>
    <w:rsid w:val="00061E81"/>
    <w:rsid w:val="000642E8"/>
    <w:rsid w:val="000652FE"/>
    <w:rsid w:val="000653D4"/>
    <w:rsid w:val="000836EA"/>
    <w:rsid w:val="00086E89"/>
    <w:rsid w:val="00092F0E"/>
    <w:rsid w:val="000A3D64"/>
    <w:rsid w:val="000A50CB"/>
    <w:rsid w:val="000C1B8F"/>
    <w:rsid w:val="000C22B1"/>
    <w:rsid w:val="000C357E"/>
    <w:rsid w:val="000C45F0"/>
    <w:rsid w:val="000C6439"/>
    <w:rsid w:val="000D0160"/>
    <w:rsid w:val="000D147B"/>
    <w:rsid w:val="000D3C8B"/>
    <w:rsid w:val="000E63DF"/>
    <w:rsid w:val="000F1BD3"/>
    <w:rsid w:val="00107051"/>
    <w:rsid w:val="00107087"/>
    <w:rsid w:val="00115F54"/>
    <w:rsid w:val="00130D01"/>
    <w:rsid w:val="00147C87"/>
    <w:rsid w:val="00154B9E"/>
    <w:rsid w:val="00157721"/>
    <w:rsid w:val="00160B48"/>
    <w:rsid w:val="001727B8"/>
    <w:rsid w:val="00175543"/>
    <w:rsid w:val="001A5511"/>
    <w:rsid w:val="001A6119"/>
    <w:rsid w:val="001A7F68"/>
    <w:rsid w:val="001B0355"/>
    <w:rsid w:val="001C135A"/>
    <w:rsid w:val="001C3FC0"/>
    <w:rsid w:val="001C423D"/>
    <w:rsid w:val="001D4FA2"/>
    <w:rsid w:val="001E69F4"/>
    <w:rsid w:val="001E70F3"/>
    <w:rsid w:val="001F08FB"/>
    <w:rsid w:val="00201BBB"/>
    <w:rsid w:val="002030CF"/>
    <w:rsid w:val="00205AF4"/>
    <w:rsid w:val="002104D5"/>
    <w:rsid w:val="00213EEF"/>
    <w:rsid w:val="00215940"/>
    <w:rsid w:val="00230E5E"/>
    <w:rsid w:val="00244DEE"/>
    <w:rsid w:val="00247959"/>
    <w:rsid w:val="00255CAD"/>
    <w:rsid w:val="002624B5"/>
    <w:rsid w:val="0026382C"/>
    <w:rsid w:val="00275F22"/>
    <w:rsid w:val="00285B58"/>
    <w:rsid w:val="00285BF7"/>
    <w:rsid w:val="002952A7"/>
    <w:rsid w:val="002B1667"/>
    <w:rsid w:val="002B5820"/>
    <w:rsid w:val="002B7A77"/>
    <w:rsid w:val="002C2D59"/>
    <w:rsid w:val="002D6716"/>
    <w:rsid w:val="002E49CA"/>
    <w:rsid w:val="002F5E67"/>
    <w:rsid w:val="003174A4"/>
    <w:rsid w:val="00323B82"/>
    <w:rsid w:val="00325186"/>
    <w:rsid w:val="00334DA2"/>
    <w:rsid w:val="00334F86"/>
    <w:rsid w:val="00343BDF"/>
    <w:rsid w:val="0036115A"/>
    <w:rsid w:val="00367100"/>
    <w:rsid w:val="00377CFE"/>
    <w:rsid w:val="00384A0B"/>
    <w:rsid w:val="00384C63"/>
    <w:rsid w:val="00392A73"/>
    <w:rsid w:val="00394CA9"/>
    <w:rsid w:val="003A2BDF"/>
    <w:rsid w:val="003A370B"/>
    <w:rsid w:val="003A64F6"/>
    <w:rsid w:val="003A7E50"/>
    <w:rsid w:val="003B772A"/>
    <w:rsid w:val="003C11F4"/>
    <w:rsid w:val="003C453E"/>
    <w:rsid w:val="003C5A16"/>
    <w:rsid w:val="003D5685"/>
    <w:rsid w:val="003D6FE7"/>
    <w:rsid w:val="003D733E"/>
    <w:rsid w:val="003E4B9D"/>
    <w:rsid w:val="003F4B31"/>
    <w:rsid w:val="00412EDD"/>
    <w:rsid w:val="0043178D"/>
    <w:rsid w:val="004424EB"/>
    <w:rsid w:val="004452F5"/>
    <w:rsid w:val="00455832"/>
    <w:rsid w:val="0046518A"/>
    <w:rsid w:val="00480D7A"/>
    <w:rsid w:val="00482F0E"/>
    <w:rsid w:val="00485044"/>
    <w:rsid w:val="00486686"/>
    <w:rsid w:val="004A2CA8"/>
    <w:rsid w:val="004A6CF5"/>
    <w:rsid w:val="004B3F1E"/>
    <w:rsid w:val="004D23DD"/>
    <w:rsid w:val="004E14AF"/>
    <w:rsid w:val="004E7453"/>
    <w:rsid w:val="004F05D7"/>
    <w:rsid w:val="004F1103"/>
    <w:rsid w:val="004F6584"/>
    <w:rsid w:val="004F679F"/>
    <w:rsid w:val="004F6A1D"/>
    <w:rsid w:val="0050421B"/>
    <w:rsid w:val="00511266"/>
    <w:rsid w:val="0051395E"/>
    <w:rsid w:val="00521117"/>
    <w:rsid w:val="00525F2D"/>
    <w:rsid w:val="00530633"/>
    <w:rsid w:val="00532972"/>
    <w:rsid w:val="00534854"/>
    <w:rsid w:val="005359E6"/>
    <w:rsid w:val="00537DB8"/>
    <w:rsid w:val="005406B4"/>
    <w:rsid w:val="00542B84"/>
    <w:rsid w:val="00551C58"/>
    <w:rsid w:val="0055228E"/>
    <w:rsid w:val="00554BA2"/>
    <w:rsid w:val="00563786"/>
    <w:rsid w:val="005653DB"/>
    <w:rsid w:val="005727DB"/>
    <w:rsid w:val="00574954"/>
    <w:rsid w:val="00574E39"/>
    <w:rsid w:val="00595208"/>
    <w:rsid w:val="005A2B92"/>
    <w:rsid w:val="005B1C56"/>
    <w:rsid w:val="005B3305"/>
    <w:rsid w:val="005B4DFE"/>
    <w:rsid w:val="005C0A0D"/>
    <w:rsid w:val="005D61B7"/>
    <w:rsid w:val="005E46DE"/>
    <w:rsid w:val="005E57C4"/>
    <w:rsid w:val="005F2734"/>
    <w:rsid w:val="005F6E3F"/>
    <w:rsid w:val="005F7048"/>
    <w:rsid w:val="00606E5E"/>
    <w:rsid w:val="00612231"/>
    <w:rsid w:val="00613FD5"/>
    <w:rsid w:val="006218F6"/>
    <w:rsid w:val="006230E6"/>
    <w:rsid w:val="0062664E"/>
    <w:rsid w:val="00632534"/>
    <w:rsid w:val="006350D1"/>
    <w:rsid w:val="006362FD"/>
    <w:rsid w:val="006366D6"/>
    <w:rsid w:val="00637F12"/>
    <w:rsid w:val="00641D3B"/>
    <w:rsid w:val="00642749"/>
    <w:rsid w:val="00642DF3"/>
    <w:rsid w:val="00644D2A"/>
    <w:rsid w:val="00645B92"/>
    <w:rsid w:val="006512ED"/>
    <w:rsid w:val="00665FAC"/>
    <w:rsid w:val="00677FAA"/>
    <w:rsid w:val="006B3B09"/>
    <w:rsid w:val="006B66BE"/>
    <w:rsid w:val="006B7C52"/>
    <w:rsid w:val="006D0311"/>
    <w:rsid w:val="006D412C"/>
    <w:rsid w:val="006D7E82"/>
    <w:rsid w:val="006E32B4"/>
    <w:rsid w:val="006E6EBF"/>
    <w:rsid w:val="006E745F"/>
    <w:rsid w:val="00700788"/>
    <w:rsid w:val="00707229"/>
    <w:rsid w:val="00716315"/>
    <w:rsid w:val="007225C4"/>
    <w:rsid w:val="00733827"/>
    <w:rsid w:val="00735906"/>
    <w:rsid w:val="00737B51"/>
    <w:rsid w:val="00741830"/>
    <w:rsid w:val="00742823"/>
    <w:rsid w:val="00751DCC"/>
    <w:rsid w:val="0075227A"/>
    <w:rsid w:val="00755347"/>
    <w:rsid w:val="00761B68"/>
    <w:rsid w:val="00763774"/>
    <w:rsid w:val="00765977"/>
    <w:rsid w:val="00782D89"/>
    <w:rsid w:val="00783F93"/>
    <w:rsid w:val="00784B50"/>
    <w:rsid w:val="0079293B"/>
    <w:rsid w:val="007A395B"/>
    <w:rsid w:val="007A5E89"/>
    <w:rsid w:val="007A60D1"/>
    <w:rsid w:val="007B23A5"/>
    <w:rsid w:val="007B2B59"/>
    <w:rsid w:val="007D08D3"/>
    <w:rsid w:val="007D1D27"/>
    <w:rsid w:val="007D1F7A"/>
    <w:rsid w:val="007E0EA7"/>
    <w:rsid w:val="007F2163"/>
    <w:rsid w:val="00805F64"/>
    <w:rsid w:val="0080648D"/>
    <w:rsid w:val="00810F3B"/>
    <w:rsid w:val="0081203C"/>
    <w:rsid w:val="00835589"/>
    <w:rsid w:val="0084040C"/>
    <w:rsid w:val="00841250"/>
    <w:rsid w:val="00842FB1"/>
    <w:rsid w:val="0084337B"/>
    <w:rsid w:val="0085380E"/>
    <w:rsid w:val="00853FA6"/>
    <w:rsid w:val="008609CE"/>
    <w:rsid w:val="00862A31"/>
    <w:rsid w:val="00863F85"/>
    <w:rsid w:val="0086452D"/>
    <w:rsid w:val="008703F5"/>
    <w:rsid w:val="0087256A"/>
    <w:rsid w:val="00874B0E"/>
    <w:rsid w:val="00885D4B"/>
    <w:rsid w:val="008A4C3F"/>
    <w:rsid w:val="008A5B1B"/>
    <w:rsid w:val="008B6D83"/>
    <w:rsid w:val="008D3735"/>
    <w:rsid w:val="008E4872"/>
    <w:rsid w:val="008E63D0"/>
    <w:rsid w:val="008F025E"/>
    <w:rsid w:val="008F55B1"/>
    <w:rsid w:val="00903AAE"/>
    <w:rsid w:val="00923585"/>
    <w:rsid w:val="00931F56"/>
    <w:rsid w:val="009475DE"/>
    <w:rsid w:val="009515D0"/>
    <w:rsid w:val="00952DB2"/>
    <w:rsid w:val="009531B7"/>
    <w:rsid w:val="0095597D"/>
    <w:rsid w:val="00972F9C"/>
    <w:rsid w:val="00976822"/>
    <w:rsid w:val="00980953"/>
    <w:rsid w:val="009947FA"/>
    <w:rsid w:val="009A4011"/>
    <w:rsid w:val="009A6729"/>
    <w:rsid w:val="009B3383"/>
    <w:rsid w:val="009D104D"/>
    <w:rsid w:val="009D10CF"/>
    <w:rsid w:val="009D1C17"/>
    <w:rsid w:val="009D3257"/>
    <w:rsid w:val="009E1C06"/>
    <w:rsid w:val="009F2BE4"/>
    <w:rsid w:val="009F690C"/>
    <w:rsid w:val="00A00665"/>
    <w:rsid w:val="00A0123E"/>
    <w:rsid w:val="00A03E91"/>
    <w:rsid w:val="00A05F70"/>
    <w:rsid w:val="00A10860"/>
    <w:rsid w:val="00A1090D"/>
    <w:rsid w:val="00A14FE6"/>
    <w:rsid w:val="00A350C4"/>
    <w:rsid w:val="00A425BE"/>
    <w:rsid w:val="00A43BEB"/>
    <w:rsid w:val="00A47CCD"/>
    <w:rsid w:val="00A60510"/>
    <w:rsid w:val="00A63AC3"/>
    <w:rsid w:val="00A65E79"/>
    <w:rsid w:val="00A70449"/>
    <w:rsid w:val="00A7471A"/>
    <w:rsid w:val="00A77972"/>
    <w:rsid w:val="00A82A44"/>
    <w:rsid w:val="00A82B1A"/>
    <w:rsid w:val="00A848C8"/>
    <w:rsid w:val="00A85D7D"/>
    <w:rsid w:val="00A877CC"/>
    <w:rsid w:val="00AA1A86"/>
    <w:rsid w:val="00AA4CA8"/>
    <w:rsid w:val="00AC1A2C"/>
    <w:rsid w:val="00AC68B6"/>
    <w:rsid w:val="00AD2591"/>
    <w:rsid w:val="00AD7EA9"/>
    <w:rsid w:val="00AE11A3"/>
    <w:rsid w:val="00AE1FF3"/>
    <w:rsid w:val="00AE7841"/>
    <w:rsid w:val="00B02833"/>
    <w:rsid w:val="00B10870"/>
    <w:rsid w:val="00B13703"/>
    <w:rsid w:val="00B17C1D"/>
    <w:rsid w:val="00B403BE"/>
    <w:rsid w:val="00B40C66"/>
    <w:rsid w:val="00B71ACA"/>
    <w:rsid w:val="00B757EA"/>
    <w:rsid w:val="00B97BB1"/>
    <w:rsid w:val="00BA20BB"/>
    <w:rsid w:val="00BB0A96"/>
    <w:rsid w:val="00BC23EB"/>
    <w:rsid w:val="00BC57F7"/>
    <w:rsid w:val="00BE6FD2"/>
    <w:rsid w:val="00BF7526"/>
    <w:rsid w:val="00C00283"/>
    <w:rsid w:val="00C0192D"/>
    <w:rsid w:val="00C045CA"/>
    <w:rsid w:val="00C20CE5"/>
    <w:rsid w:val="00C2718B"/>
    <w:rsid w:val="00C37235"/>
    <w:rsid w:val="00C53048"/>
    <w:rsid w:val="00C53A53"/>
    <w:rsid w:val="00C62A72"/>
    <w:rsid w:val="00C74287"/>
    <w:rsid w:val="00C77BFA"/>
    <w:rsid w:val="00C77D8A"/>
    <w:rsid w:val="00C90F8D"/>
    <w:rsid w:val="00CB380D"/>
    <w:rsid w:val="00CB6888"/>
    <w:rsid w:val="00CB75F6"/>
    <w:rsid w:val="00CC3732"/>
    <w:rsid w:val="00CC495F"/>
    <w:rsid w:val="00CC5096"/>
    <w:rsid w:val="00CD5013"/>
    <w:rsid w:val="00CD7C06"/>
    <w:rsid w:val="00CE54AE"/>
    <w:rsid w:val="00CF2BCA"/>
    <w:rsid w:val="00CF399F"/>
    <w:rsid w:val="00D002D7"/>
    <w:rsid w:val="00D0313F"/>
    <w:rsid w:val="00D16246"/>
    <w:rsid w:val="00D40092"/>
    <w:rsid w:val="00D43F1D"/>
    <w:rsid w:val="00D50F0D"/>
    <w:rsid w:val="00D51E92"/>
    <w:rsid w:val="00D626CA"/>
    <w:rsid w:val="00D73D35"/>
    <w:rsid w:val="00D76D79"/>
    <w:rsid w:val="00D76E8A"/>
    <w:rsid w:val="00D81F78"/>
    <w:rsid w:val="00D8222D"/>
    <w:rsid w:val="00D872A3"/>
    <w:rsid w:val="00D8780E"/>
    <w:rsid w:val="00D91BCA"/>
    <w:rsid w:val="00D93B7A"/>
    <w:rsid w:val="00DA1554"/>
    <w:rsid w:val="00DA6517"/>
    <w:rsid w:val="00DB67BC"/>
    <w:rsid w:val="00DB7335"/>
    <w:rsid w:val="00DB7342"/>
    <w:rsid w:val="00DD732F"/>
    <w:rsid w:val="00DE3345"/>
    <w:rsid w:val="00DE3CC3"/>
    <w:rsid w:val="00DE7AB5"/>
    <w:rsid w:val="00DF7A4B"/>
    <w:rsid w:val="00E02326"/>
    <w:rsid w:val="00E0248C"/>
    <w:rsid w:val="00E06A95"/>
    <w:rsid w:val="00E17789"/>
    <w:rsid w:val="00E27D7B"/>
    <w:rsid w:val="00E3443A"/>
    <w:rsid w:val="00E357E3"/>
    <w:rsid w:val="00E4245D"/>
    <w:rsid w:val="00E46A68"/>
    <w:rsid w:val="00E544D3"/>
    <w:rsid w:val="00E54E5B"/>
    <w:rsid w:val="00E57B6C"/>
    <w:rsid w:val="00E634CA"/>
    <w:rsid w:val="00E70F29"/>
    <w:rsid w:val="00E73B23"/>
    <w:rsid w:val="00E75DAC"/>
    <w:rsid w:val="00E8022A"/>
    <w:rsid w:val="00E84CA4"/>
    <w:rsid w:val="00E94160"/>
    <w:rsid w:val="00EB1F39"/>
    <w:rsid w:val="00EC3637"/>
    <w:rsid w:val="00EC498B"/>
    <w:rsid w:val="00EC68EB"/>
    <w:rsid w:val="00EE5EAC"/>
    <w:rsid w:val="00F07CB4"/>
    <w:rsid w:val="00F138F0"/>
    <w:rsid w:val="00F23944"/>
    <w:rsid w:val="00F2501B"/>
    <w:rsid w:val="00F26887"/>
    <w:rsid w:val="00F3781E"/>
    <w:rsid w:val="00F56CD6"/>
    <w:rsid w:val="00F57136"/>
    <w:rsid w:val="00F61426"/>
    <w:rsid w:val="00F6760C"/>
    <w:rsid w:val="00F73799"/>
    <w:rsid w:val="00F770CE"/>
    <w:rsid w:val="00F84979"/>
    <w:rsid w:val="00F85862"/>
    <w:rsid w:val="00F864D2"/>
    <w:rsid w:val="00F94AC7"/>
    <w:rsid w:val="00F9626D"/>
    <w:rsid w:val="00FB7675"/>
    <w:rsid w:val="00FC3FB7"/>
    <w:rsid w:val="00FC603C"/>
    <w:rsid w:val="00FD7565"/>
    <w:rsid w:val="00FE352F"/>
    <w:rsid w:val="01D534E1"/>
    <w:rsid w:val="04861EE9"/>
    <w:rsid w:val="089F4D27"/>
    <w:rsid w:val="17CB52EC"/>
    <w:rsid w:val="1B3B3A23"/>
    <w:rsid w:val="1BCE648B"/>
    <w:rsid w:val="1FC460E6"/>
    <w:rsid w:val="266647BC"/>
    <w:rsid w:val="2BB0739E"/>
    <w:rsid w:val="35575E81"/>
    <w:rsid w:val="36FD40F6"/>
    <w:rsid w:val="37F5414B"/>
    <w:rsid w:val="3F1E6273"/>
    <w:rsid w:val="3FA27282"/>
    <w:rsid w:val="43893BE5"/>
    <w:rsid w:val="4E233B41"/>
    <w:rsid w:val="4EC26893"/>
    <w:rsid w:val="56942B94"/>
    <w:rsid w:val="5A962AF1"/>
    <w:rsid w:val="5B7823BF"/>
    <w:rsid w:val="5CBA75DC"/>
    <w:rsid w:val="6149107E"/>
    <w:rsid w:val="66202FFE"/>
    <w:rsid w:val="7E910C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p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Hyperlink"/>
    <w:basedOn w:val="8"/>
    <w:unhideWhenUsed/>
    <w:qFormat/>
    <w:uiPriority w:val="99"/>
    <w:rPr>
      <w:color w:val="0000FF"/>
      <w:u w:val="single"/>
    </w:rPr>
  </w:style>
  <w:style w:type="character" w:customStyle="1" w:styleId="11">
    <w:name w:val="页眉 Char"/>
    <w:basedOn w:val="8"/>
    <w:link w:val="4"/>
    <w:qFormat/>
    <w:uiPriority w:val="99"/>
    <w:rPr>
      <w:rFonts w:ascii="宋体" w:hAnsi="宋体" w:eastAsia="宋体" w:cs="宋体"/>
      <w:kern w:val="0"/>
      <w:sz w:val="18"/>
      <w:szCs w:val="18"/>
    </w:rPr>
  </w:style>
  <w:style w:type="character" w:customStyle="1" w:styleId="12">
    <w:name w:val="页脚 Char"/>
    <w:basedOn w:val="8"/>
    <w:link w:val="3"/>
    <w:qFormat/>
    <w:uiPriority w:val="99"/>
    <w:rPr>
      <w:rFonts w:ascii="宋体" w:hAnsi="宋体" w:eastAsia="宋体" w:cs="宋体"/>
      <w:kern w:val="0"/>
      <w:sz w:val="18"/>
      <w:szCs w:val="18"/>
    </w:rPr>
  </w:style>
  <w:style w:type="character" w:customStyle="1" w:styleId="13">
    <w:name w:val="style_kwd"/>
    <w:basedOn w:val="8"/>
    <w:qFormat/>
    <w:uiPriority w:val="0"/>
  </w:style>
  <w:style w:type="character" w:customStyle="1" w:styleId="14">
    <w:name w:val="apple-converted-space"/>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82</Pages>
  <Words>36500</Words>
  <Characters>208053</Characters>
  <Lines>1733</Lines>
  <Paragraphs>488</Paragraphs>
  <TotalTime>40</TotalTime>
  <ScaleCrop>false</ScaleCrop>
  <LinksUpToDate>false</LinksUpToDate>
  <CharactersWithSpaces>244065</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2017-07-01T00:40:00Z</dcterms:created>
  <dc:creator>shenlang</dc:creator>
  <cp:lastModifiedBy>潘月</cp:lastModifiedBy>
  <cp:lastPrinted>2017-07-11T15:14:00Z</cp:lastPrinted>
  <dcterms:modified xsi:type="dcterms:W3CDTF">2025-12-23T16:54:57Z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ies>
</file>